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F5" w:rsidRDefault="001577F5" w:rsidP="00ED65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</w:p>
    <w:p w:rsidR="001577F5" w:rsidRDefault="001577F5" w:rsidP="00ED65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</w:p>
    <w:p w:rsidR="00ED6540" w:rsidRPr="00ED6540" w:rsidRDefault="00ED6540" w:rsidP="00ED65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b/>
          <w:color w:val="0F243E"/>
          <w:sz w:val="24"/>
          <w:szCs w:val="24"/>
        </w:rPr>
        <w:t>Приложение 1</w:t>
      </w:r>
    </w:p>
    <w:p w:rsidR="00ED6540" w:rsidRPr="00ED6540" w:rsidRDefault="00ED6540" w:rsidP="00ED65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ED6540" w:rsidRPr="00ED6540" w:rsidRDefault="00ED6540" w:rsidP="00ED65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ED6540" w:rsidRPr="00ED6540" w:rsidRDefault="00ED6540" w:rsidP="00ED65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540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</w:p>
    <w:p w:rsidR="00ED6540" w:rsidRPr="00ED6540" w:rsidRDefault="00ED6540" w:rsidP="00ED65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540">
        <w:rPr>
          <w:rFonts w:ascii="Times New Roman" w:eastAsia="Times New Roman" w:hAnsi="Times New Roman" w:cs="Times New Roman"/>
          <w:b/>
          <w:sz w:val="28"/>
          <w:szCs w:val="28"/>
        </w:rPr>
        <w:t>оценки и расчета измеряемых показателей Антикоррупционного рейтинга российского бизнеса</w:t>
      </w:r>
    </w:p>
    <w:p w:rsidR="00ED6540" w:rsidRPr="00ED6540" w:rsidRDefault="00ED6540" w:rsidP="00ED6540">
      <w:pPr>
        <w:spacing w:after="0"/>
        <w:ind w:left="709" w:right="317" w:firstLine="3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540">
        <w:rPr>
          <w:rFonts w:ascii="Times New Roman" w:eastAsia="Times New Roman" w:hAnsi="Times New Roman" w:cs="Times New Roman"/>
          <w:b/>
          <w:sz w:val="28"/>
          <w:szCs w:val="28"/>
        </w:rPr>
        <w:t xml:space="preserve">в отношении </w:t>
      </w:r>
      <w:proofErr w:type="spellStart"/>
      <w:r w:rsidRPr="00ED6540">
        <w:rPr>
          <w:rFonts w:ascii="Times New Roman" w:eastAsia="Times New Roman" w:hAnsi="Times New Roman" w:cs="Times New Roman"/>
          <w:b/>
          <w:sz w:val="28"/>
          <w:szCs w:val="28"/>
        </w:rPr>
        <w:t>рейтингуемой</w:t>
      </w:r>
      <w:proofErr w:type="spellEnd"/>
      <w:r w:rsidRPr="00ED654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компании</w:t>
      </w:r>
    </w:p>
    <w:p w:rsidR="00ED6540" w:rsidRPr="00ED6540" w:rsidRDefault="00ED6540" w:rsidP="00ED6540">
      <w:pPr>
        <w:spacing w:after="0"/>
        <w:ind w:left="709" w:right="317" w:firstLine="371"/>
        <w:jc w:val="center"/>
        <w:rPr>
          <w:rFonts w:ascii="Times New Roman" w:eastAsia="Calibri" w:hAnsi="Times New Roman" w:cs="Times New Roman"/>
          <w:b/>
          <w:i/>
          <w:color w:val="0F243E"/>
          <w:sz w:val="28"/>
          <w:szCs w:val="28"/>
        </w:rPr>
      </w:pPr>
    </w:p>
    <w:p w:rsidR="00ED6540" w:rsidRPr="00ED6540" w:rsidRDefault="00ED6540" w:rsidP="00ED6540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1. В настоящей Таблице 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по каждому критерию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в столбцах 3-6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проставля</w:t>
      </w:r>
      <w:r w:rsidR="00D86FE8">
        <w:rPr>
          <w:rFonts w:ascii="Times New Roman" w:eastAsia="Calibri" w:hAnsi="Times New Roman" w:cs="Times New Roman"/>
          <w:color w:val="0F243E"/>
          <w:sz w:val="26"/>
          <w:szCs w:val="24"/>
        </w:rPr>
        <w:t>е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тся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 xml:space="preserve"> оценка/баллы от «5» до «0»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Pr="00ED6540">
        <w:rPr>
          <w:rFonts w:ascii="Times New Roman" w:eastAsia="Calibri" w:hAnsi="Times New Roman" w:cs="Times New Roman"/>
          <w:sz w:val="26"/>
          <w:szCs w:val="24"/>
        </w:rPr>
        <w:t>по состоянию на год, по итогам которого присваивается Рейтинг,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при этом  </w:t>
      </w:r>
    </w:p>
    <w:p w:rsidR="00ED6540" w:rsidRPr="00ED6540" w:rsidRDefault="00ED6540" w:rsidP="00ED6540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- оценка/баллы «</w:t>
      </w:r>
      <w:proofErr w:type="gramStart"/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5»  означает</w:t>
      </w:r>
      <w:proofErr w:type="gramEnd"/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полное подтверждение соответствия критерию,</w:t>
      </w:r>
    </w:p>
    <w:p w:rsidR="00ED6540" w:rsidRPr="00ED6540" w:rsidRDefault="00ED6540" w:rsidP="00ED6540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- оценка/баллы </w:t>
      </w:r>
      <w:proofErr w:type="gramStart"/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« 4</w:t>
      </w:r>
      <w:proofErr w:type="gramEnd"/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– 1» означает частичное соответствие критерию,</w:t>
      </w:r>
    </w:p>
    <w:p w:rsidR="00ED6540" w:rsidRPr="00ED6540" w:rsidRDefault="00ED6540" w:rsidP="00ED6540">
      <w:pPr>
        <w:spacing w:before="60" w:after="0"/>
        <w:ind w:firstLine="624"/>
        <w:jc w:val="both"/>
        <w:rPr>
          <w:rFonts w:ascii="Times New Roman" w:eastAsia="Calibri" w:hAnsi="Times New Roman" w:cs="Times New Roman"/>
          <w:b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- оценка/баллы «0» означает, что </w:t>
      </w:r>
      <w:r w:rsidRPr="00ED6540">
        <w:rPr>
          <w:rFonts w:ascii="Times New Roman" w:eastAsia="Calibri" w:hAnsi="Times New Roman" w:cs="Times New Roman"/>
          <w:sz w:val="26"/>
          <w:szCs w:val="24"/>
        </w:rPr>
        <w:t xml:space="preserve">соответствие критерию не подтверждено. </w:t>
      </w:r>
    </w:p>
    <w:p w:rsidR="00ED6540" w:rsidRPr="00ED6540" w:rsidRDefault="00ED6540" w:rsidP="00ED6540">
      <w:pPr>
        <w:spacing w:before="60"/>
        <w:ind w:firstLine="62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D6540">
        <w:rPr>
          <w:rFonts w:ascii="Times New Roman" w:eastAsia="Calibri" w:hAnsi="Times New Roman" w:cs="Times New Roman"/>
          <w:sz w:val="26"/>
          <w:szCs w:val="24"/>
        </w:rPr>
        <w:t xml:space="preserve">Сумма значений отметок по каждому из критериев используется при расчете Удельного показателя Рейтинга. </w:t>
      </w:r>
    </w:p>
    <w:p w:rsidR="006C256C" w:rsidRDefault="00ED6540" w:rsidP="00C267A4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2</w:t>
      </w:r>
      <w:r w:rsidRPr="00D86FE8">
        <w:rPr>
          <w:rFonts w:ascii="Times New Roman" w:eastAsia="Calibri" w:hAnsi="Times New Roman" w:cs="Times New Roman"/>
          <w:color w:val="0F243E"/>
          <w:sz w:val="26"/>
          <w:szCs w:val="24"/>
        </w:rPr>
        <w:t>.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 xml:space="preserve"> </w:t>
      </w:r>
      <w:r w:rsidR="006C256C" w:rsidRPr="006C256C">
        <w:rPr>
          <w:rFonts w:ascii="Times New Roman" w:eastAsia="Calibri" w:hAnsi="Times New Roman" w:cs="Times New Roman"/>
          <w:color w:val="0F243E"/>
          <w:sz w:val="26"/>
          <w:szCs w:val="24"/>
        </w:rPr>
        <w:t>Для обоснования оценки в соответствующих ячейках Таблицы указываются источники данных, документы и иные свидетельства</w:t>
      </w:r>
      <w:r w:rsidR="006C256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. Официальные </w:t>
      </w:r>
      <w:r w:rsidR="006C256C"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реквизиты </w:t>
      </w:r>
      <w:r w:rsidR="006C256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документа </w:t>
      </w:r>
      <w:r w:rsidR="006C256C"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(наименование, номер, дата, орган, принявший решение, или должностное лицо, подписавшее документ</w:t>
      </w:r>
      <w:r w:rsidR="006C256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) обязательно должны быть указаны </w:t>
      </w:r>
      <w:r w:rsidR="006C256C" w:rsidRPr="006C256C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</w:t>
      </w:r>
      <w:r w:rsidR="00C267A4" w:rsidRPr="006C256C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ри первой ссылке</w:t>
      </w:r>
      <w:r w:rsidR="00C267A4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на </w:t>
      </w:r>
      <w:r w:rsidR="006C256C">
        <w:rPr>
          <w:rFonts w:ascii="Times New Roman" w:eastAsia="Calibri" w:hAnsi="Times New Roman" w:cs="Times New Roman"/>
          <w:color w:val="0F243E"/>
          <w:sz w:val="26"/>
          <w:szCs w:val="24"/>
        </w:rPr>
        <w:t>него</w:t>
      </w:r>
      <w:r w:rsidR="00C267A4"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.</w:t>
      </w:r>
      <w:r w:rsidR="00C267A4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При последующих ссылках достаточно указать наименование, а также </w:t>
      </w:r>
      <w:r w:rsidR="00C267A4" w:rsidRPr="006C256C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соответствующий пункт/раздел</w:t>
      </w:r>
      <w:r w:rsidR="00C267A4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документа.</w:t>
      </w:r>
      <w:r w:rsidR="00C267A4" w:rsidRPr="00C267A4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</w:p>
    <w:p w:rsidR="00C267A4" w:rsidRDefault="00C267A4" w:rsidP="00C267A4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Компании, участвующие в Очном рейтинге, вправе самостоятельно внести информацию в Таблицу, предоставив эксперту для комплексной независимой оценки свидетельства фактической обоснованности внесенн</w:t>
      </w:r>
      <w:r w:rsidR="006C256C">
        <w:rPr>
          <w:rFonts w:ascii="Times New Roman" w:eastAsia="Calibri" w:hAnsi="Times New Roman" w:cs="Times New Roman"/>
          <w:color w:val="0F243E"/>
          <w:sz w:val="26"/>
          <w:szCs w:val="24"/>
        </w:rPr>
        <w:t>ой информации и оценок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.</w:t>
      </w:r>
    </w:p>
    <w:p w:rsidR="006C256C" w:rsidRDefault="006C256C" w:rsidP="00C267A4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</w:p>
    <w:p w:rsidR="00ED6540" w:rsidRPr="00ED6540" w:rsidRDefault="006C256C" w:rsidP="00ED6540">
      <w:pPr>
        <w:spacing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3. </w:t>
      </w:r>
      <w:r w:rsidR="00ED6540"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Обоснованность всех о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ценок</w:t>
      </w:r>
      <w:r w:rsidR="00ED6540"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и корректность расчёта Измеряемых показателей Рейтинга является предметом контроля, в том числе возможной дополнительной верификации, со стороны Рейтингового комитета. </w:t>
      </w:r>
    </w:p>
    <w:p w:rsidR="00ED6540" w:rsidRPr="00ED6540" w:rsidRDefault="00ED6540" w:rsidP="00ED6540">
      <w:pPr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br w:type="page"/>
      </w:r>
    </w:p>
    <w:p w:rsidR="00ED6540" w:rsidRPr="00ED6540" w:rsidRDefault="00ED6540" w:rsidP="00ED6540">
      <w:pPr>
        <w:spacing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</w:p>
    <w:tbl>
      <w:tblPr>
        <w:tblStyle w:val="afe"/>
        <w:tblW w:w="5166" w:type="pct"/>
        <w:tblLayout w:type="fixed"/>
        <w:tblLook w:val="04A0" w:firstRow="1" w:lastRow="0" w:firstColumn="1" w:lastColumn="0" w:noHBand="0" w:noVBand="1"/>
      </w:tblPr>
      <w:tblGrid>
        <w:gridCol w:w="524"/>
        <w:gridCol w:w="43"/>
        <w:gridCol w:w="3372"/>
        <w:gridCol w:w="3171"/>
        <w:gridCol w:w="286"/>
        <w:gridCol w:w="2568"/>
        <w:gridCol w:w="2001"/>
        <w:gridCol w:w="1573"/>
        <w:gridCol w:w="1857"/>
      </w:tblGrid>
      <w:tr w:rsidR="00864A7D" w:rsidRPr="00ED6540" w:rsidTr="00877375">
        <w:tc>
          <w:tcPr>
            <w:tcW w:w="184" w:type="pct"/>
            <w:gridSpan w:val="2"/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1</w:t>
            </w:r>
          </w:p>
        </w:tc>
        <w:tc>
          <w:tcPr>
            <w:tcW w:w="1095" w:type="pct"/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2</w:t>
            </w:r>
          </w:p>
        </w:tc>
        <w:tc>
          <w:tcPr>
            <w:tcW w:w="1030" w:type="pct"/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3</w:t>
            </w:r>
          </w:p>
        </w:tc>
        <w:tc>
          <w:tcPr>
            <w:tcW w:w="927" w:type="pct"/>
            <w:gridSpan w:val="2"/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4</w:t>
            </w:r>
          </w:p>
        </w:tc>
        <w:tc>
          <w:tcPr>
            <w:tcW w:w="650" w:type="pct"/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5</w:t>
            </w:r>
          </w:p>
        </w:tc>
        <w:tc>
          <w:tcPr>
            <w:tcW w:w="511" w:type="pct"/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6</w:t>
            </w:r>
          </w:p>
        </w:tc>
        <w:tc>
          <w:tcPr>
            <w:tcW w:w="603" w:type="pct"/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7</w:t>
            </w:r>
          </w:p>
        </w:tc>
      </w:tr>
      <w:tr w:rsidR="00864A7D" w:rsidRPr="00ED6540" w:rsidTr="00877375">
        <w:tc>
          <w:tcPr>
            <w:tcW w:w="184" w:type="pct"/>
            <w:gridSpan w:val="2"/>
            <w:shd w:val="clear" w:color="auto" w:fill="FBD4B4" w:themeFill="accent6" w:themeFillTint="66"/>
          </w:tcPr>
          <w:p w:rsidR="00ED020A" w:rsidRPr="00ED6540" w:rsidRDefault="00ED020A" w:rsidP="00ED6540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95" w:type="pct"/>
            <w:shd w:val="clear" w:color="auto" w:fill="FBD4B4" w:themeFill="accent6" w:themeFillTint="66"/>
          </w:tcPr>
          <w:p w:rsidR="00877375" w:rsidRPr="00ED6540" w:rsidRDefault="00877375" w:rsidP="00877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 Рейтинга</w:t>
            </w:r>
            <w:proofErr w:type="gramEnd"/>
          </w:p>
          <w:p w:rsidR="00877375" w:rsidRDefault="00877375" w:rsidP="00877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соответствия деятельности компании по предупреждению и противодействию коррупции </w:t>
            </w:r>
            <w:r w:rsidRPr="00A62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международному стандарту ISO37001:2016, Антикоррупционной хартии российского бизнеса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62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  <w:r w:rsidRPr="00A62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 применимого законодательства</w:t>
            </w:r>
          </w:p>
          <w:p w:rsidR="00ED020A" w:rsidRPr="00ED6540" w:rsidRDefault="00ED020A" w:rsidP="00ED6540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shd w:val="clear" w:color="auto" w:fill="FBD4B4" w:themeFill="accent6" w:themeFillTint="66"/>
          </w:tcPr>
          <w:p w:rsidR="00ED020A" w:rsidRPr="00C267A4" w:rsidRDefault="00877375" w:rsidP="00877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Локальные нормативные акты компании*</w:t>
            </w: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(ЛНА</w:t>
            </w: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>содержат определения/ термины/ принципы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регулирования в области </w:t>
            </w:r>
            <w:r w:rsidRPr="00A621E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противодействием коррупции</w:t>
            </w: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подтверждающие соответствие критерию Рейтинга</w:t>
            </w:r>
            <w:r w:rsidRPr="00E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gridSpan w:val="2"/>
            <w:shd w:val="clear" w:color="auto" w:fill="FBD4B4" w:themeFill="accent6" w:themeFillTint="66"/>
          </w:tcPr>
          <w:p w:rsidR="00ED020A" w:rsidRPr="00ED6540" w:rsidRDefault="00ED020A" w:rsidP="00A71D4B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Локальные </w:t>
            </w:r>
            <w:r w:rsidR="0058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нормативные</w:t>
            </w:r>
            <w:r w:rsidRPr="00E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(ЛНА)</w:t>
            </w: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описание функций/ процедур</w:t>
            </w:r>
            <w:proofErr w:type="gramStart"/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>/  процессов</w:t>
            </w:r>
            <w:proofErr w:type="gramEnd"/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противодействием коррупции  по критерию Рейтинга</w:t>
            </w:r>
          </w:p>
        </w:tc>
        <w:tc>
          <w:tcPr>
            <w:tcW w:w="650" w:type="pct"/>
            <w:shd w:val="clear" w:color="auto" w:fill="FBD4B4" w:themeFill="accent6" w:themeFillTint="66"/>
          </w:tcPr>
          <w:p w:rsidR="00ED020A" w:rsidRPr="00ED6540" w:rsidRDefault="00ED020A" w:rsidP="00A26977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>В компании предусмотрен</w:t>
            </w:r>
            <w:r w:rsidR="00543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DB7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 Ключевых</w:t>
            </w:r>
            <w:r w:rsidRPr="00E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Показателей  Результативности</w:t>
            </w:r>
            <w:proofErr w:type="gramEnd"/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(КПР) управления противодействием коррупции </w:t>
            </w:r>
            <w:r w:rsidR="00D63A66">
              <w:rPr>
                <w:rFonts w:ascii="Times New Roman" w:eastAsia="Calibri" w:hAnsi="Times New Roman" w:cs="Times New Roman"/>
                <w:sz w:val="24"/>
                <w:szCs w:val="24"/>
              </w:rPr>
              <w:t>по критерию</w:t>
            </w:r>
            <w:r w:rsidR="00A26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Рейтинга</w:t>
            </w:r>
          </w:p>
        </w:tc>
        <w:tc>
          <w:tcPr>
            <w:tcW w:w="511" w:type="pct"/>
            <w:shd w:val="clear" w:color="auto" w:fill="FBD4B4" w:themeFill="accent6" w:themeFillTint="66"/>
          </w:tcPr>
          <w:p w:rsidR="00ED020A" w:rsidRPr="00877B15" w:rsidRDefault="00864A7D" w:rsidP="00DB71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компании </w:t>
            </w:r>
            <w:r w:rsidR="00877B15" w:rsidRPr="00DB7189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в году,</w:t>
            </w:r>
            <w:r w:rsidR="00877B15" w:rsidRPr="00877B1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предшествующе</w:t>
            </w:r>
            <w:r w:rsidR="00877B1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му</w:t>
            </w:r>
            <w:r w:rsidR="00877B15" w:rsidRPr="00877B1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присвоению класса </w:t>
            </w:r>
            <w:proofErr w:type="gramStart"/>
            <w:r w:rsidR="00877B15" w:rsidRPr="00877B1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Рейтинга</w:t>
            </w:r>
            <w:r w:rsidR="00DB7189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877B15" w:rsidRPr="0087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7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ED020A" w:rsidRPr="00DB7189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аскрыты</w:t>
            </w:r>
            <w:proofErr w:type="gramEnd"/>
            <w:r w:rsidR="00ED020A" w:rsidRPr="00DB7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показатели</w:t>
            </w:r>
            <w:r w:rsidR="00ED020A" w:rsidRPr="0087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результативности</w:t>
            </w:r>
            <w:r w:rsidR="00DB7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критерию Рейтинга</w:t>
            </w:r>
            <w:r w:rsidR="00B702DF" w:rsidRPr="0087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shd w:val="clear" w:color="auto" w:fill="FBD4B4" w:themeFill="accent6" w:themeFillTint="66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оценок/баллов</w:t>
            </w: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данному критерию Рейтинга (столбцы </w:t>
            </w:r>
            <w:r w:rsidRPr="00ED65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3-6)</w:t>
            </w:r>
          </w:p>
          <w:p w:rsidR="00ED020A" w:rsidRPr="00ED6540" w:rsidRDefault="00ED020A" w:rsidP="00ED6540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</w:p>
        </w:tc>
      </w:tr>
      <w:tr w:rsidR="00ED020A" w:rsidRPr="00ED6540" w:rsidTr="00877375">
        <w:tc>
          <w:tcPr>
            <w:tcW w:w="184" w:type="pct"/>
            <w:gridSpan w:val="2"/>
            <w:shd w:val="clear" w:color="auto" w:fill="FBD4B4" w:themeFill="accent6" w:themeFillTint="66"/>
          </w:tcPr>
          <w:p w:rsidR="00ED020A" w:rsidRPr="00ED6540" w:rsidRDefault="00ED020A" w:rsidP="00ED6540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</w:p>
        </w:tc>
        <w:tc>
          <w:tcPr>
            <w:tcW w:w="1095" w:type="pct"/>
            <w:shd w:val="clear" w:color="auto" w:fill="FBD4B4" w:themeFill="accent6" w:themeFillTint="66"/>
          </w:tcPr>
          <w:p w:rsidR="00ED020A" w:rsidRPr="00ED6540" w:rsidRDefault="00ED020A" w:rsidP="00ED6540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</w:p>
        </w:tc>
        <w:tc>
          <w:tcPr>
            <w:tcW w:w="1957" w:type="pct"/>
            <w:gridSpan w:val="3"/>
            <w:shd w:val="clear" w:color="auto" w:fill="FBD4B4" w:themeFill="accent6" w:themeFillTint="66"/>
          </w:tcPr>
          <w:p w:rsidR="00ED020A" w:rsidRPr="00ED6540" w:rsidRDefault="00ED020A" w:rsidP="00D86FE8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*</w:t>
            </w:r>
            <w:r w:rsidRPr="00C267A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Примечание: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столбцах 3 и 4 помимо локальных НПА можно привести ссылки на законодательные акты, а также методики, рекомендации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решения контролирующих компаний/организаций, стандарты ассоциаций, иные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руководящие документы.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ab/>
            </w:r>
          </w:p>
        </w:tc>
        <w:tc>
          <w:tcPr>
            <w:tcW w:w="650" w:type="pct"/>
            <w:shd w:val="clear" w:color="auto" w:fill="FBD4B4" w:themeFill="accent6" w:themeFillTint="66"/>
          </w:tcPr>
          <w:p w:rsidR="00ED020A" w:rsidRPr="00ED6540" w:rsidRDefault="00ED020A" w:rsidP="00ED6540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</w:p>
        </w:tc>
        <w:tc>
          <w:tcPr>
            <w:tcW w:w="511" w:type="pct"/>
            <w:shd w:val="clear" w:color="auto" w:fill="FBD4B4" w:themeFill="accent6" w:themeFillTint="66"/>
          </w:tcPr>
          <w:p w:rsidR="00ED020A" w:rsidRPr="00ED6540" w:rsidRDefault="00ED020A" w:rsidP="00ED6540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</w:p>
        </w:tc>
        <w:tc>
          <w:tcPr>
            <w:tcW w:w="603" w:type="pct"/>
            <w:shd w:val="clear" w:color="auto" w:fill="FBD4B4" w:themeFill="accent6" w:themeFillTint="66"/>
          </w:tcPr>
          <w:p w:rsidR="00ED020A" w:rsidRPr="00ED6540" w:rsidRDefault="00ED020A" w:rsidP="00ED6540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</w:p>
        </w:tc>
      </w:tr>
      <w:tr w:rsidR="00ED020A" w:rsidRPr="00ED6540" w:rsidTr="0087737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020A" w:rsidRPr="00ED6540" w:rsidRDefault="002B6B5E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020A" w:rsidRPr="00ED6540" w:rsidRDefault="002B6B5E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ED6540" w:rsidRPr="00ED6540" w:rsidRDefault="00ED6540" w:rsidP="00ED6540">
      <w:pPr>
        <w:spacing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</w:p>
    <w:tbl>
      <w:tblPr>
        <w:tblStyle w:val="afe"/>
        <w:tblW w:w="15276" w:type="dxa"/>
        <w:tblLayout w:type="fixed"/>
        <w:tblLook w:val="04A0" w:firstRow="1" w:lastRow="0" w:firstColumn="1" w:lastColumn="0" w:noHBand="0" w:noVBand="1"/>
      </w:tblPr>
      <w:tblGrid>
        <w:gridCol w:w="544"/>
        <w:gridCol w:w="732"/>
        <w:gridCol w:w="9180"/>
        <w:gridCol w:w="992"/>
        <w:gridCol w:w="993"/>
        <w:gridCol w:w="992"/>
        <w:gridCol w:w="992"/>
        <w:gridCol w:w="851"/>
      </w:tblGrid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Учёт условий и определение области управления противодействием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2B6B5E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2B6B5E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компании определены внешние и внутренние факторы, которые влияют на управление противодействием коррупции,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ED020A" w:rsidRPr="00ED6540" w:rsidRDefault="00877375" w:rsidP="00ED6540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естонахождение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территории присутствия, отрасли, в которых работает или предполагает работать компания, характер и масштаб деятельности компании;</w:t>
            </w:r>
          </w:p>
          <w:p w:rsidR="00ED020A" w:rsidRPr="00ED6540" w:rsidRDefault="00ED020A" w:rsidP="00ED6540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миссия и стратегические цели развития компании;</w:t>
            </w:r>
          </w:p>
          <w:p w:rsidR="00ED020A" w:rsidRPr="00ED6540" w:rsidRDefault="00ED020A" w:rsidP="00ED6540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бизнес-модель компании, структура управления компании, наличие контролируемых и контролирующих организаций;</w:t>
            </w:r>
          </w:p>
          <w:p w:rsidR="00877375" w:rsidRDefault="00877375" w:rsidP="00877375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потребности/ожидания заинтересованных сторон,</w:t>
            </w:r>
          </w:p>
          <w:p w:rsidR="00ED020A" w:rsidRPr="00ED6540" w:rsidRDefault="00ED020A" w:rsidP="00ED6540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lastRenderedPageBreak/>
              <w:t>круг деловых партнеров/контрагентов, потребителей продукции и услуг;</w:t>
            </w:r>
          </w:p>
          <w:p w:rsidR="00ED020A" w:rsidRPr="00ED6540" w:rsidRDefault="00ED020A" w:rsidP="00ED6540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 и объем взаимосвязей с органами власти и публичными должностными лицами;</w:t>
            </w:r>
          </w:p>
          <w:p w:rsidR="00ED020A" w:rsidRPr="00ED6540" w:rsidRDefault="00ED020A" w:rsidP="00ED6540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особенности применимого законодательства, обязательных требований, стандартов </w:t>
            </w: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саморегулирования,  контрактных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социальных обязательств и пр.;</w:t>
            </w:r>
          </w:p>
          <w:p w:rsidR="00ED020A" w:rsidRPr="00ED6540" w:rsidRDefault="00ED020A" w:rsidP="00ED6540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иные специфические для компании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Определено предназначение и область управления противодействием коррупции</w:t>
            </w:r>
            <w:r w:rsidR="00B066E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*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57689D" w:rsidRDefault="00ED020A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закреплены цели антикоррупционной политики с учетом факторов, указанных в критериях 1</w:t>
            </w:r>
            <w:r w:rsidR="0057689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57689D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противодействием коррупции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должны иметь измеримые показатели </w:t>
            </w:r>
            <w:r w:rsidR="00155A6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обновляться с изменениями внешних и внутренних обстоятельств;</w:t>
            </w:r>
          </w:p>
          <w:p w:rsidR="00ED020A" w:rsidRPr="00ED6540" w:rsidRDefault="00ED020A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область управления противодействием коррупции включены явления, потенциально связанные с деятельностью компаний, а именно: злоупотребление должностными полномочиями, дача взятки, посредничество во взяточничестве, получение взятки,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      </w:r>
            <w:r w:rsidRPr="00ED6540">
              <w:rPr>
                <w:rFonts w:ascii="Times New Roman" w:eastAsia="Calibri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Cs/>
                <w:iCs/>
                <w:color w:val="0F243E"/>
                <w:sz w:val="24"/>
                <w:szCs w:val="24"/>
              </w:rPr>
              <w:t>как работником организации, так и иными лицами и др.</w:t>
            </w:r>
          </w:p>
          <w:p w:rsidR="00ED020A" w:rsidRPr="00B066E7" w:rsidRDefault="00B066E7" w:rsidP="00B60DE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 xml:space="preserve">* В область управления противодействием коррупции в зависимости от специфики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>компании  могут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="008657EF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>быть включены   иные негативные явления</w:t>
            </w:r>
            <w:r w:rsidR="00ED020A" w:rsidRPr="00B066E7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 xml:space="preserve"> (например, случаи хищения, мошенничества, отмывания денег или иной незаконной деятельности, </w:t>
            </w:r>
            <w:r w:rsidR="00B60DE6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 xml:space="preserve">поскольку </w:t>
            </w:r>
            <w:r w:rsidR="00ED020A" w:rsidRPr="00B066E7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 xml:space="preserve"> подобная деятельность может быть связана с коррупционными действиями</w:t>
            </w:r>
            <w:r w:rsidR="00B60DE6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>)</w:t>
            </w:r>
            <w:r w:rsidR="00ED020A" w:rsidRPr="00B066E7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Базовые принципы управления противодействием коррупции, руководство и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917ADF" w:rsidP="00ED6540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</w:t>
            </w:r>
            <w:proofErr w:type="gramStart"/>
            <w:r w:rsidR="00ED37A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 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</w:t>
            </w:r>
            <w:proofErr w:type="gramEnd"/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учётом факторов, указанных в критериях 1-2,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базовые принципы противодействия коррупции, при этом:</w:t>
            </w:r>
          </w:p>
          <w:p w:rsidR="00326330" w:rsidRDefault="00ED020A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признается принцип неприятия коррупции в любой форме</w:t>
            </w:r>
            <w:r w:rsidR="00D86FE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r w:rsidR="0032633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ED020A" w:rsidRPr="00ED6540" w:rsidRDefault="00326330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управление противодействием коррупции 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рассматривается/признается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качестве 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одного из ключевых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ESG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-факторов и достижения лучших результатов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области корпоративного управления 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инвестиционной политики компании;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ED020A" w:rsidRPr="00ED6540" w:rsidRDefault="00ED020A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обеспечено </w:t>
            </w: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соответствие  российскому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применимому зарубежному законодательству;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lastRenderedPageBreak/>
              <w:t xml:space="preserve">приведены отсылки к нормативным актам, стандартам, корпоративным документам - хартиям, кодексам и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др</w:t>
            </w:r>
            <w:proofErr w:type="spellEnd"/>
            <w:r w:rsidR="00D86FE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D86FE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учтены рекомендации</w:t>
            </w:r>
            <w:r w:rsidR="008773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методики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иные официальные разъяснения </w:t>
            </w:r>
            <w:r w:rsidR="00877375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вопросам управления </w:t>
            </w:r>
            <w:r w:rsidR="008773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противодействием</w:t>
            </w:r>
            <w:r w:rsidR="00877375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877375"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коррупции</w:t>
            </w:r>
            <w:r w:rsidR="00877375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(напр., рекомендации Минтруда России, ЦБ РФ,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памятка Генеральной прокуратуры РФ)</w:t>
            </w: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Антикоррупционная политика и (или) </w:t>
            </w:r>
            <w:r w:rsidR="008773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одекс этики утверждены в качестве </w:t>
            </w:r>
            <w:r w:rsidR="00585CB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локальных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нормативных </w:t>
            </w:r>
            <w:r w:rsidR="00585CB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актов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</w:t>
            </w:r>
            <w:r w:rsidR="00917AD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предусматривают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ED020A" w:rsidRPr="00ED6540" w:rsidRDefault="00ED020A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 правомерного антикоррупционного поведения, предупреждения конфликта интересов и соблюдения норм деловой этики всеми руководителями и работниками компании, а также контролируемым организациями и партнерами;</w:t>
            </w:r>
          </w:p>
          <w:p w:rsidR="00ED020A" w:rsidRPr="00ED6540" w:rsidRDefault="00ED020A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основы функционирования системы управления рисками и внутреннего контроля в сфере противодействия коррупции, включая контролируемые организации; </w:t>
            </w:r>
          </w:p>
          <w:p w:rsidR="00ED020A" w:rsidRPr="00ED6540" w:rsidRDefault="00877375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обязанности и 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ответственность органов управления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отдельных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должностных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лиц,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подразделений за разработку и реализацию политики;</w:t>
            </w:r>
          </w:p>
          <w:p w:rsidR="00ED020A" w:rsidRPr="00ED6540" w:rsidRDefault="00917ADF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планирование 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комплекс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 по предупреждению и противодействию коррупции;</w:t>
            </w:r>
          </w:p>
          <w:p w:rsidR="00ED020A" w:rsidRPr="00ED6540" w:rsidRDefault="00ED020A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информационные каналы для сообщений о коррупционных проявлениях;</w:t>
            </w:r>
          </w:p>
          <w:p w:rsidR="00ED020A" w:rsidRPr="00ED6540" w:rsidRDefault="00ED020A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обязательное проведение антикоррупционной экспертизы проектов внутренних нормативных документов</w:t>
            </w:r>
            <w:r w:rsidR="00D86FE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Коллегиальные органы </w:t>
            </w:r>
            <w:proofErr w:type="gramStart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управления  и</w:t>
            </w:r>
            <w:proofErr w:type="gram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исполнительные органы  (совет директоров, правление и др.) демонстрируют лидерство и обязательства в отношении управления противодействием коррупции, </w:t>
            </w:r>
            <w:r w:rsidRPr="00ED6540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ED020A" w:rsidRPr="00ED6540" w:rsidRDefault="00ED020A" w:rsidP="00ED65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утверждают антикоррупционную политику и другие базовые документы в этой области</w:t>
            </w:r>
            <w:r w:rsidR="008773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proofErr w:type="gramStart"/>
            <w:r w:rsidR="008773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включая  планы</w:t>
            </w:r>
            <w:proofErr w:type="gramEnd"/>
            <w:r w:rsidR="008773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мероприятий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обеспечивают согласованность стратегии организации, принципов управления рисками и её антикоррупционной политики;</w:t>
            </w:r>
          </w:p>
          <w:p w:rsidR="00ED020A" w:rsidRPr="00ED6540" w:rsidRDefault="00ED020A" w:rsidP="00ED65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осуществляют контроль за ее внедрением, дисциплиной исполнения и операционной эффективностью, в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т.ч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 не реже одного раза в год анализируют состояние системы/эффективность управления противодействием коррупции;</w:t>
            </w:r>
          </w:p>
          <w:p w:rsidR="00ED020A" w:rsidRPr="00ED6540" w:rsidRDefault="00ED020A" w:rsidP="00ED65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обеспечивают выделения достаточных ресурсов для результативного управления противодействием коррупции;</w:t>
            </w:r>
          </w:p>
          <w:p w:rsidR="00ED020A" w:rsidRPr="00ED6540" w:rsidRDefault="00ED020A" w:rsidP="00ED65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делегируют функции специально сформированным органам </w:t>
            </w:r>
            <w:r w:rsidR="008773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и/или должностным лицам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(например, комитету по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комплаенс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по защите активов, по управлению рисками и внутреннему контролю,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комплаенс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-менеджеру и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др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="00D86FE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87737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lastRenderedPageBreak/>
              <w:t>публикуют обращение руководства компании о нулевой терпимости к коррупции.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Исполнительные органы и должностные лица высшего уровня управления (президент,</w:t>
            </w: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вице-президент, г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енеральный директор, его заместители и др.) выполняют </w:t>
            </w: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обязательства и несут ответственность в области управления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противодействием коррупции, </w:t>
            </w:r>
            <w:r w:rsidRPr="00ED6540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обеспечивают разработку и внедрение антикоррупционной политики, поддержание </w:t>
            </w: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эффективного функционирования системы управления рисками и внутреннего контроля, включая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противодействие коррупции;</w:t>
            </w:r>
          </w:p>
          <w:p w:rsidR="00C365BC" w:rsidRPr="00C365BC" w:rsidRDefault="00C365BC" w:rsidP="00ED654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план</w:t>
            </w:r>
            <w:r w:rsidR="00CC381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рование мер противодействия коррупции;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несут ответственность </w:t>
            </w: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за организацию системы управления противодействием коррупции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 компании и ее встраивание во все бизнес-процессы/хозяйственные функции;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осуществляют контроль соблюдения антикоррупционного законодательства и внутрикорпоративных требований (рассмотрение и мониторинг сделок с повышенным риском, результатов расследований и пр.);  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задействуют достаточные ресурсы для результативного управления противодействием коррупции;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информируют внутренние и внешние заинтересованные стороны об антикоррупционной политике и управлении противодействием коррупции;</w:t>
            </w: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содействуют в предоставлении необходимой информации специализированному подразделению /</w:t>
            </w:r>
            <w:proofErr w:type="spellStart"/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комплаенс</w:t>
            </w:r>
            <w:proofErr w:type="spellEnd"/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-менеджеру, подразделению внутреннего аудита, правоохранительным и контрольно-надзорным органам при проведении проверок/расследований;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поощряют использование каналов обращений о признаках коррупции</w:t>
            </w:r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при этом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гарантируют отсутствие дискриминации/дисциплинарного воздействия за добросовестные сообщения о признаках коррупции или за отказ участвовать в коррупционных действиях, даже если такой отказ может привести к потерям для бизнеса;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 реже одного раза в год представляют коллегиальным органам управления информацию об управлении противодействием коррупции и его результативности;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распределяют полномочия, обязанности и ответственность в области предупреждения и противодействия коррупции между находящимися в их ведении подразделениями;</w:t>
            </w:r>
          </w:p>
          <w:p w:rsidR="00ED020A" w:rsidRPr="0055138B" w:rsidRDefault="00ED020A" w:rsidP="0055138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обеспечивают разработку и своевременное о</w:t>
            </w:r>
            <w:r w:rsidR="0055138B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бновление внутренних документов.</w:t>
            </w:r>
          </w:p>
          <w:p w:rsidR="0055138B" w:rsidRPr="0055138B" w:rsidRDefault="0055138B" w:rsidP="0055138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Определено и функционирует специализированное подразделение/служба/должностное лицо (</w:t>
            </w:r>
            <w:proofErr w:type="spellStart"/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комплаенс</w:t>
            </w:r>
            <w:proofErr w:type="spellEnd"/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-менеджер), наделенное полномочиями по принятию решений в области предупреждения и противодействия коррупции</w:t>
            </w:r>
            <w:r w:rsidR="0055138B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*</w:t>
            </w:r>
            <w:r w:rsidRPr="00ED654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, которое: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lastRenderedPageBreak/>
              <w:t>имеет независимый от других функциональных руководителей статус, полномочия и ответственность в вопросах противодействия коррупции; подчиняется непосредственно органу/должностному лицу высшего уровня управления;</w:t>
            </w:r>
          </w:p>
          <w:p w:rsidR="0055138B" w:rsidRDefault="00ED020A" w:rsidP="0055138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вправе передавать на операционный уровень функции по управлению противодействием коррупции должностным лицам и/или работникам, которые будут их осуществлять наряду с выполнением ими иных должностных обязанностей. Круг таких должностных лиц и работников определяется внутренним документом организации.</w:t>
            </w:r>
          </w:p>
          <w:p w:rsidR="0055138B" w:rsidRDefault="0055138B" w:rsidP="0055138B">
            <w:pPr>
              <w:autoSpaceDE w:val="0"/>
              <w:autoSpaceDN w:val="0"/>
              <w:adjustRightInd w:val="0"/>
              <w:spacing w:after="80" w:line="221" w:lineRule="atLeast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  <w:p w:rsidR="00ED020A" w:rsidRPr="0055138B" w:rsidRDefault="0055138B" w:rsidP="0055138B">
            <w:pPr>
              <w:pStyle w:val="af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80" w:line="221" w:lineRule="atLeast"/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</w:rPr>
            </w:pPr>
            <w:r w:rsidRPr="0055138B"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</w:rPr>
              <w:t>П</w:t>
            </w:r>
            <w:r w:rsidR="00ED020A" w:rsidRPr="0055138B"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</w:rPr>
              <w:t>ри этом, закрепление полномочий за подразделением или должностным лицом не освобождает коллегиальные и исполнительные органы управления от их обязанностей и ответственности по планированию и разработке мероприятий, своевременному обновлению внутренних документов, выявлению, оценке и переоценке коррупционных рисков и др. обязательств, перечисленных в критериях 5-6.</w:t>
            </w:r>
          </w:p>
          <w:p w:rsidR="00ED020A" w:rsidRPr="00ED6540" w:rsidRDefault="00ED020A" w:rsidP="00ED6540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020A" w:rsidRPr="00ED6540" w:rsidRDefault="00ED020A" w:rsidP="00ED6540">
            <w:pPr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Нормативное обеспечение управления в области противодействия коррупции и деловой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5F70D9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5F70D9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локальных нормативных актов компании </w:t>
            </w:r>
            <w:r w:rsidR="00551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(ЛНА) </w:t>
            </w: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предупреждения и противодействия коррупции</w:t>
            </w:r>
            <w:r w:rsidR="005513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включает документы верхнего уровня (Антикоррупционная политика, Кодекс этики</w:t>
            </w:r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</w:t>
            </w:r>
            <w:proofErr w:type="spellStart"/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дрю</w:t>
            </w:r>
            <w:proofErr w:type="spell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), которые размещаются в открытом доступе, в том числе на корпоративном сайте и доступны для работников, контрагентов, иных заинтересованных сторон;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включает документы организационного и операционного уровня для обеспечения выполнения решений исполнительных органов и руководителей подразделений в рамках определенных бизнес-процессов, на всех уровнях и во всех подразделениях организации, а также в контролируемых компаниях;</w:t>
            </w:r>
          </w:p>
          <w:p w:rsidR="00ED020A" w:rsidRPr="00ED6540" w:rsidRDefault="0055138B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актуализируется в непрерывном режиме</w:t>
            </w:r>
            <w:r w:rsidR="00ED020A"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для учета изменений в законодательстве и внутренних потребностей организации;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разработка и принятие/утверждение локальных нормативных актов предусматривает обязательную антикоррупционную экспертизу</w:t>
            </w:r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проектов актов, а также оценку их результативности (фактического воздействия)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9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Локальные нормативные правовые акты и внутренние документы операционного уровня регламентируют следующие процедуры (включая, но не ограничиваясь):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lastRenderedPageBreak/>
              <w:t xml:space="preserve">процедура информирования о ставших известными работнику нарушениях, имеющих признаки коррупции, другими работниками, контрагентами, иными лицами, </w:t>
            </w:r>
            <w:proofErr w:type="gramStart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  случаях</w:t>
            </w:r>
            <w:proofErr w:type="gram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склонения работника к совершению коррупционных нарушений, и порядок рассмотрения таких сообщений;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защиты работников, сообщивших о коррупционных нарушениях;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процедура информирования о возникновении конфликта интересов и </w:t>
            </w:r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его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урегулирования;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взаимодействия с должностными лицами</w:t>
            </w:r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государственных и муниципальных органов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иностранными должностными лицами, </w:t>
            </w:r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должностными лицами публичной международной организации;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процедура выявления и оценки коррупционных рисков; 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процедуры контроля по направлениям деятельности/бизнес-процессам с высокими коррупционными рисками, включая порядок проверки работников, изучения информации о репутации контрагентов и пр.;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процедура проведения служебных </w:t>
            </w:r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проверок/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расследований;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закупок;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обмена деловыми подарками и знаками делового гостеприимства;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проведения представительских расходов;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осуществления благотворительной помощи;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проведения маркетинговых акций и спонсорства;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предоставления скидок и бонусов;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согласования платежей операций с высоким коррупционным риском;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контроля данных бухгалтерского учета, наличия и достоверности первичных документов бухгалтерского учета;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заключения договоров;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списания дебиторской задолженности;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приема на работу, перевода и повышения в должности персонала;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процедура информирования и организаци</w:t>
            </w:r>
            <w:r w:rsidR="0055138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обучения работников в отношении требований антикоррупционного законодательства и корпоративных документов;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порядок взаимодействия с контрольно-надзорными и правоохранительными органами, в том числе при проведении проверок</w:t>
            </w:r>
            <w:r w:rsidR="00D86FE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ED020A" w:rsidRPr="00ED6540" w:rsidRDefault="00ED020A" w:rsidP="00ED65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10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компании публично установлены принципы деловой этики и добросовестного делового поведения, которые:</w:t>
            </w:r>
          </w:p>
          <w:p w:rsidR="00ED020A" w:rsidRPr="00ED6540" w:rsidRDefault="00ED020A" w:rsidP="00ED65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распространяются на всех работников и должностных лиц, устанавливают приоритет </w:t>
            </w: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моральных ценностей, добросовестного исполнения обязанностей во благо компании и пр.;</w:t>
            </w:r>
          </w:p>
          <w:p w:rsidR="00ED020A" w:rsidRPr="00ED6540" w:rsidRDefault="00ED020A" w:rsidP="00ED65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исключают действия, противоречащие интересам и стратегическим целям компании, а также способные причинить вред ее деловой репутации;</w:t>
            </w:r>
          </w:p>
          <w:p w:rsidR="00ED020A" w:rsidRPr="00ED6540" w:rsidRDefault="00ED020A" w:rsidP="00ED65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включают </w:t>
            </w:r>
            <w:r w:rsidR="00551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требования соблюдения </w:t>
            </w: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принцип</w:t>
            </w:r>
            <w:r w:rsidR="005513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ов</w:t>
            </w: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справедливости, должностного роста и саморазвития работников и др.;</w:t>
            </w:r>
          </w:p>
          <w:p w:rsidR="00ED020A" w:rsidRPr="00ED6540" w:rsidRDefault="00ED020A" w:rsidP="00ED65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 определяют ответственный/специализированный орган/подразделение (комиссия по деловой этике, по конфликту интересов, и др.) или ответственного менеджера;</w:t>
            </w:r>
          </w:p>
          <w:p w:rsidR="00ED020A" w:rsidRPr="00ED6540" w:rsidRDefault="00ED020A" w:rsidP="00ED65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предусматривают </w:t>
            </w:r>
            <w:proofErr w:type="gramStart"/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меры  поощрения</w:t>
            </w:r>
            <w:proofErr w:type="gramEnd"/>
            <w:r w:rsidRPr="00ED65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дисциплинарной ответственности за их нарушение. </w:t>
            </w:r>
          </w:p>
          <w:p w:rsidR="00ED020A" w:rsidRPr="00ED6540" w:rsidRDefault="00ED020A" w:rsidP="00ED65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Управление рисками коррупции.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5F70D9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5F70D9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786B10" w:rsidP="00ED6540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компании о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существляется управление рисками коррупции, включа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: </w:t>
            </w:r>
          </w:p>
          <w:p w:rsidR="00ED020A" w:rsidRPr="00ED6540" w:rsidRDefault="00ED020A" w:rsidP="00786B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идентификацию рисков, выявление коррупционных факторов и </w:t>
            </w: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бизнес процессов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повышенными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рисками, определение перечня должностей, связанных с высоким коррупционным риском; </w:t>
            </w:r>
          </w:p>
          <w:p w:rsidR="00ED020A" w:rsidRPr="00ED6540" w:rsidRDefault="00ED020A" w:rsidP="00786B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построение матрицы коррупционных рисков, заявление о приемлемой величине риска</w:t>
            </w:r>
            <w:r w:rsidR="00786B1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/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86B1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(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определение величины </w:t>
            </w:r>
            <w:r w:rsidR="00786B1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«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риск-аппетита</w:t>
            </w:r>
            <w:r w:rsidR="00786B1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»)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текущий мониторинг рисков</w:t>
            </w:r>
            <w:r w:rsidR="00D86FE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ED020A" w:rsidRPr="00ED6540" w:rsidRDefault="00ED020A" w:rsidP="00786B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планирование мер по минимизации коррупционных рисков с учетом целей управления противодействием коррупции, факторов, упомянутых в критериях 1-2;</w:t>
            </w:r>
          </w:p>
          <w:p w:rsidR="00786B10" w:rsidRPr="00786B10" w:rsidRDefault="00ED020A" w:rsidP="00786B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регулярный (не реже одного раза в год) контроль достижения целей/оценка эффективности управления рисками коррупции</w:t>
            </w:r>
            <w:r w:rsidR="00D86FE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786B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пересмотр и обновление предусмотренных/запланированных 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случае, если установлено, что коррупционные риски превышают уровень приемлемости </w:t>
            </w:r>
            <w:r w:rsidR="00786B1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величины </w:t>
            </w:r>
            <w:r w:rsidR="00786B1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«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риск-аппетита</w:t>
            </w:r>
            <w:r w:rsidR="00786B1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»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), установленный компанией, или </w:t>
            </w:r>
            <w:r w:rsidR="00786B1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если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такие риски не могут быть минимизированы принимаются адекватные меры: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по незамедлительному прекращению договорных </w:t>
            </w:r>
            <w:proofErr w:type="gramStart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отношений,  соответствующего</w:t>
            </w:r>
            <w:proofErr w:type="gram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проекта  или направления деятельности должностных лиц и работников, сопряжённых с риском коррупции;</w:t>
            </w:r>
          </w:p>
          <w:p w:rsidR="00ED020A" w:rsidRPr="00ED6540" w:rsidRDefault="00ED020A" w:rsidP="00ED65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 возможному переносу сроков или отклонению планируемой сопряжённой с рисками деятельности, включая прием на работу, заключение договоров, участие в закупках и т.п.</w:t>
            </w:r>
          </w:p>
          <w:p w:rsidR="00ED020A" w:rsidRPr="00ED6540" w:rsidRDefault="00ED020A" w:rsidP="00ED6540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финансовой сфере,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ED020A" w:rsidRPr="00ED6540" w:rsidRDefault="00ED020A" w:rsidP="00ED654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обеспечено разделение обязанностей, чтобы одно и то же лицо не могло инициировать и одобрить платеж;</w:t>
            </w:r>
          </w:p>
          <w:p w:rsidR="00ED020A" w:rsidRPr="00ED6540" w:rsidRDefault="00ED020A" w:rsidP="00ED654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установлены иерархические уровни полномочий для одобрения платежа (чтобы более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lastRenderedPageBreak/>
              <w:t>значительные операции требовали одобрения должностного лица более высокого уровня управления);</w:t>
            </w:r>
          </w:p>
          <w:p w:rsidR="00ED020A" w:rsidRPr="00ED6540" w:rsidRDefault="00ED020A" w:rsidP="00ED654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о необходимости, по крайней мере, двух подписей для утверждения платежа;</w:t>
            </w:r>
          </w:p>
          <w:p w:rsidR="00ED020A" w:rsidRPr="00ED6540" w:rsidRDefault="00ED020A" w:rsidP="00ED654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наличия соответствующей сопроводительной документации, прилагаемой к подтверждениям платежа;</w:t>
            </w:r>
          </w:p>
          <w:p w:rsidR="00786B10" w:rsidRPr="00ED6540" w:rsidRDefault="00786B10" w:rsidP="0078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проводится проверка, что получатель платежа и факт выполнения работ или услуг были подтверждены посредством механизмов утверждения;</w:t>
            </w:r>
          </w:p>
          <w:p w:rsidR="00ED020A" w:rsidRPr="00ED6540" w:rsidRDefault="00ED020A" w:rsidP="00ED654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установлено ограничение использования наличных средств и применяются результативные методы контроля за их использованием;</w:t>
            </w:r>
          </w:p>
          <w:p w:rsidR="00ED020A" w:rsidRPr="00ED6540" w:rsidRDefault="00ED020A" w:rsidP="00ED654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точной и понятной классификации платежей, их точного отображения на счетах;</w:t>
            </w:r>
          </w:p>
          <w:p w:rsidR="00ED020A" w:rsidRPr="00ED6540" w:rsidRDefault="00ED020A" w:rsidP="00ED654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проводится периодический анализ значительных финансовых операций со стороны должностных лиц высшего уровня управления;</w:t>
            </w:r>
          </w:p>
          <w:p w:rsidR="00ED020A" w:rsidRPr="00ED6540" w:rsidRDefault="00ED020A" w:rsidP="00ED654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периодические независимые финансовые аудиты и регулярная ротация их исполнителей.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нефинансовой сфере,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 при осуществлении:</w:t>
            </w:r>
          </w:p>
          <w:p w:rsidR="00ED020A" w:rsidRPr="00ED6540" w:rsidRDefault="00ED020A" w:rsidP="00ED65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закупочной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производственной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благотворительной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ED020A" w:rsidRPr="00786B10" w:rsidRDefault="00ED020A" w:rsidP="00ED65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786B1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спонсорской деятельности; </w:t>
            </w:r>
          </w:p>
          <w:p w:rsidR="00ED020A" w:rsidRPr="00ED6540" w:rsidRDefault="00ED020A" w:rsidP="00ED65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передаче и получении подарков</w:t>
            </w:r>
            <w:r w:rsidR="00D86FE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осуществлении представительских расходов</w:t>
            </w:r>
            <w:r w:rsidR="00D86FE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ED020A" w:rsidRPr="00ED6540" w:rsidRDefault="00ED020A" w:rsidP="00ED65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установлении поощрительных, бонусных платежей и при проведении таких мероприятий</w:t>
            </w:r>
            <w:r w:rsidR="00C865A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отношениях с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клиентами, агентами и посредниками;</w:t>
            </w:r>
          </w:p>
          <w:p w:rsidR="00ED020A" w:rsidRPr="00ED6540" w:rsidRDefault="00ED020A" w:rsidP="00ED65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</w:t>
            </w: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иных  видах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деятельности.</w:t>
            </w:r>
          </w:p>
          <w:p w:rsidR="00ED020A" w:rsidRPr="00ED6540" w:rsidRDefault="00ED020A" w:rsidP="00786B10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Организационно-кадровое обеспечение управления противодействием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 и выделяются ресурсы, необходимые для разработки и внедрения мер противодействия коррупции, а также функционирования и постоянного улучшения управления противодействием коррупции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ED020A" w:rsidRPr="00ED6540" w:rsidRDefault="00ED020A" w:rsidP="00ED65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персонал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lastRenderedPageBreak/>
              <w:t>материальные ресурсы (помещения, связь, компьютерное оборудование, программное обеспечение, оргтехника и пр.);</w:t>
            </w:r>
          </w:p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 финансовые ресурсы</w:t>
            </w:r>
            <w:r w:rsidR="00C865A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информационные ресурсы и доступ к коммуникациям</w:t>
            </w:r>
          </w:p>
          <w:p w:rsidR="00ED020A" w:rsidRPr="00ED6540" w:rsidRDefault="00ED020A" w:rsidP="00786B1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предусмотрены меры поощрения за вклад в повышение эффективности антикоррупц</w:t>
            </w:r>
            <w:r w:rsidR="00F3667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онной политики компании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Обеспечена компетентность должностных лиц и работников с функциями управления противодействием коррупции, </w:t>
            </w:r>
            <w:r w:rsidRPr="00ED6540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786B10" w:rsidRPr="00ED6540" w:rsidRDefault="00786B10" w:rsidP="00786B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определяются   необходимые требования к компетентности (квалификации), наличию соответствующего образования, подготовки, опыта;</w:t>
            </w:r>
          </w:p>
          <w:p w:rsidR="00786B10" w:rsidRPr="00ED6540" w:rsidRDefault="00786B10" w:rsidP="00786B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принимаются меры для поддержания и совершенствования необходимой квалификации и оценки их результативности;</w:t>
            </w:r>
          </w:p>
          <w:p w:rsidR="00ED020A" w:rsidRPr="00ED6540" w:rsidRDefault="00ED020A" w:rsidP="00786B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имеются/сохраняются документированные свидетельства компетентности.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8B5A19" w:rsidP="00ED6540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Принимаются  </w:t>
            </w:r>
            <w:r w:rsidR="00ED020A"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антикоррупционные</w:t>
            </w:r>
            <w:proofErr w:type="gramEnd"/>
            <w:r w:rsidR="00ED020A"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меры в отношении персонала (включая прием/ перевод на должность с рисками коррупции), </w:t>
            </w:r>
            <w:r w:rsidR="00ED020A" w:rsidRPr="00ED6540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</w:t>
            </w:r>
            <w:r w:rsidR="00213675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 xml:space="preserve"> осуществляется</w:t>
            </w:r>
            <w:r w:rsidR="00ED020A" w:rsidRPr="00ED6540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:</w:t>
            </w:r>
          </w:p>
          <w:p w:rsidR="00786B10" w:rsidRPr="00786B1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соблюдение и контроль антикоррупционных ограничений требований и запретов, установленных законодательством в отношении лиц, ранее занимавших государственные должности, должности государственной и муниципальной службы, а также иные требования</w:t>
            </w:r>
            <w:r w:rsidR="00C865A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условия трудоустройства и перевода на должность с </w:t>
            </w:r>
            <w:proofErr w:type="spellStart"/>
            <w:proofErr w:type="gramStart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риска</w:t>
            </w:r>
            <w:r w:rsidR="00E17E0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ми</w:t>
            </w:r>
            <w:proofErr w:type="spellEnd"/>
            <w:proofErr w:type="gram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коррупции включают вводный инструктаж (информирование об антикоррупционной политике компании, требованиях и мерах дисциплинарного воздействия и ответственности в случае нарушений);</w:t>
            </w:r>
          </w:p>
          <w:p w:rsidR="00213675" w:rsidRPr="00ED6540" w:rsidRDefault="00213675" w:rsidP="0021367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специальные антикоррупционные процедуры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соблюдения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ограничени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й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запрет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 отношении работников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замещающих должности с повышенными рисками (например, регулярное заполнение декларации о конфликте интересов)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защита прав и законных интересов работников</w:t>
            </w:r>
            <w:r w:rsidR="0021367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в том числе не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применени</w:t>
            </w:r>
            <w:r w:rsidR="0021367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 мер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дискриминации или дисциплинарных мер за отказ участвовать в любой операции с признаками коррупции или за добросовестные сообщения о признаках коррупции;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периодическое анкетирование/ тестирование персонала на предмет соблюдения антикоррупционных требований</w:t>
            </w:r>
            <w:r w:rsidR="00C865A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C74242" w:rsidRDefault="00C74242" w:rsidP="00C7424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применение мер ответственности работников в области противодействия коррупции;</w:t>
            </w:r>
          </w:p>
          <w:p w:rsidR="00ED020A" w:rsidRPr="00ED6540" w:rsidRDefault="00ED020A" w:rsidP="00C7424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должностных лиц и работников за вклад в повышение эффективности антикоррупционной политики компании, а </w:t>
            </w:r>
            <w:proofErr w:type="gramStart"/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 применение</w:t>
            </w:r>
            <w:proofErr w:type="gramEnd"/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ответственности  за ее </w:t>
            </w: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Default="008B5A19" w:rsidP="009849BE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Предусмотрено планирование организационно-кадровой работы в области предупреждения и противодействия коррупции</w:t>
            </w:r>
            <w:r w:rsidR="006E540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при этом:</w:t>
            </w:r>
          </w:p>
          <w:p w:rsidR="006E540F" w:rsidRDefault="006E540F" w:rsidP="00955CB8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такие планы включают </w:t>
            </w:r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процедуры реализации установленных требований,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проведени</w:t>
            </w:r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955CB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обучающих и информационных мероприятий</w:t>
            </w:r>
            <w:r w:rsidR="00C4672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механизмы консультирования работников</w:t>
            </w:r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анализа сообщений о </w:t>
            </w:r>
            <w:proofErr w:type="spellStart"/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коррупцонных</w:t>
            </w:r>
            <w:proofErr w:type="spellEnd"/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проявлениях и </w:t>
            </w:r>
            <w:proofErr w:type="spellStart"/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</w:t>
            </w:r>
            <w:proofErr w:type="spellEnd"/>
            <w:r w:rsidR="00955CB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2A5629" w:rsidRDefault="00955CB8" w:rsidP="002A5629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предусматривают </w:t>
            </w:r>
            <w:r w:rsidR="00003CD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ответственных должностных </w:t>
            </w:r>
            <w:proofErr w:type="gramStart"/>
            <w:r w:rsidR="00003CD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лиц  за</w:t>
            </w:r>
            <w:proofErr w:type="gramEnd"/>
            <w:r w:rsidR="00003CD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реализацию соответствующих мер, отчетность 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контроль и</w:t>
            </w:r>
            <w:r w:rsidR="00003CD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 результативност</w:t>
            </w:r>
            <w:r w:rsidR="002A562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и;</w:t>
            </w:r>
          </w:p>
          <w:p w:rsidR="00955CB8" w:rsidRPr="00ED6540" w:rsidRDefault="002A5629" w:rsidP="00213675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C4672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установлена система отчетности </w:t>
            </w:r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</w:t>
            </w:r>
            <w:r w:rsidR="00C4672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выполнени</w:t>
            </w:r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="00C4672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0070E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планов</w:t>
            </w:r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включая документирование результатов</w:t>
            </w:r>
            <w:r w:rsidR="000070E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Установлены процедуры, </w:t>
            </w:r>
            <w:r w:rsidR="002136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созданы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условия и принимаются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меры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для выявления и урегулирования</w:t>
            </w:r>
            <w:r w:rsidRPr="00ED6540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конфликта интересов, в том числе: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определен круг лиц, в отношении которых осуществляются соответствующие меры предотвращения конфликта интересов;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определен порядок предупреждения, выявления и урегулирования конфликта интересов;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круг должностных лиц, ответственных за приём и рассмотрение сведений о конфликте интересов;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обязанность членов коллегиальных органов управления, должностных лиц, работников и внештатных сотрудников по предупреждению, выявлению и урегулированию конфликта интересов, меры ответственности за их невыполнение;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каналы консультирования по вопросам конфликта интересов;</w:t>
            </w:r>
          </w:p>
          <w:p w:rsidR="00ED020A" w:rsidRPr="00ED6540" w:rsidRDefault="00ED020A" w:rsidP="000070E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 специализированные органы по деловой этике, комиссии по урегулированию конфликта интересов 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регулярное информирование и обучение должностных лиц и работников (деловых партнеров, посредников и пр.) по вопросам предупреждения и противодействия коррупции, </w:t>
            </w:r>
            <w:r w:rsidRPr="00ED6540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обучения и информирования соответствует должностным обязанностями и величине степени коррупционных рисков, которым подвергаются должностные лица и работники;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применяются различные формы обучения: вводный инструктаж для всех работников, периодическое (очное/онлайн обучение), дополнительное обучение </w:t>
            </w:r>
            <w:proofErr w:type="gramStart"/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работников</w:t>
            </w:r>
            <w:proofErr w:type="gramEnd"/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замещающих должности, связанные с коррупционными рисками и др.</w:t>
            </w:r>
            <w:r w:rsidR="00C865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результаты обучения документированы и сохраняются определенный срок (например, до момента внешней независимой оценки системы управления рисками или на протяжении всей трудовой деятельности работника в компании)</w:t>
            </w:r>
            <w:r w:rsidR="00C865A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lastRenderedPageBreak/>
              <w:t>проводится информирование работников/контрагентов/деловых партнеров о проводимых мероприятиях в целях предупреждения коррупции;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используются все каналы коммуникаций (корпоративные СМИ, порталы, печатная продукция, устная коммуникация и др.) для периодических информационных сообщений руководителей, органов управления в адрес работников по вопросам противодействия коррупции.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ind w:right="-108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Действуют каналы для обращений/информирования/консультирования по признакам коррупции («горячая линия»), при этом: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обеспечена доступность таких каналов и предусмотрено информирование об условиях их использования всеми заинтересованными сторонами;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установлен порядок рассмотрения сообщений, консультирования с указанием участвующих должностных лиц и работников, сроков рассмотрения, и иных условий;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предусмотрено документирование фактов, обобщение и анализ обращений, поступающих на «горячую линию»; 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 итогам анализа и проверки обращений, осуществляется регулярное ознакомление органов управления (совет директоров, правление и др.) и должностных лиц с результатами рассмотрения обращений;</w:t>
            </w:r>
          </w:p>
          <w:p w:rsidR="00ED020A" w:rsidRPr="00ED6540" w:rsidRDefault="00ED020A" w:rsidP="00ED65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контролирует соблюдение гарантий неприменения репрессивных мер и сохранения конфиденциальности (за исключением случаев, когда иное установлено законом) по фактам обращений</w:t>
            </w:r>
            <w:r w:rsidR="00C865A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Создается, хранится, актуализируется, доводится до сведения заинтересованных сторон документированная информация, предусмотренная критериями Рейтинга,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</w:r>
            <w:r w:rsidRPr="00ED6540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локальные нормативные правовые акты, решения, </w:t>
            </w:r>
            <w:r w:rsidR="001042A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планы,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протоколы и иные документы по вопросам противодействием коррупции;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документированные свидетельства доведения антикоррупционной политики до должностных лиц и работников, деловых партнёров/контрагентов и контролируемых организаций;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результаты оценки коррупционных рисков (критерии 11-14);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предотвращения и урегулирования конфликта интересов</w:t>
            </w:r>
            <w:r w:rsidRPr="00ED6540"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(критерий 19);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проведенного обучения по вопросам противодействия коррупции (критерий 20);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внедрения и результативности мер противодействия коррупции, фиксирующие ключевые показатели результативности;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lastRenderedPageBreak/>
              <w:t>свидетельства учёта/регистрации подарков, оплаты представительских расходов, благотворительных и спонсорских платежей;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результаты внутреннего или внешнего аудита по вопросам противодействия коррупции, а также проведения мониторинга, проверок, расследований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Раскрытие информации о противодействии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Компания раскрывает на официальном сайте и в других открытых источниках: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позицию о неприятии коррупции во взаимодействии со всеми внутренними и внешними заинтересованными </w:t>
            </w:r>
            <w:proofErr w:type="gramStart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сторонами,  о</w:t>
            </w:r>
            <w:proofErr w:type="gram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содействии государственным органам в расследовании коррупционных правонарушений и др.</w:t>
            </w:r>
            <w:r w:rsidR="00C865A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обращение руководства компании к работникам, деловым партнерам о соблюдении антикоррупционных требований и предотвращении конфликта интересов;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информацию об участии в мероприятиях и коллективных акциях, о поддержке антикоррупционных инициатив (</w:t>
            </w:r>
            <w:proofErr w:type="gramStart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  присоединении</w:t>
            </w:r>
            <w:proofErr w:type="gram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 Антикоррупционной хартии российского бизнеса,  об участии в Антикоррупционном рейтинге российского бизнеса и пр.);</w:t>
            </w:r>
          </w:p>
          <w:p w:rsidR="00326330" w:rsidRDefault="00213675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Антикоррупционная политика, </w:t>
            </w:r>
            <w:r w:rsidR="00ED020A"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Кодекс этики, другие локальные нормативные акты</w:t>
            </w:r>
            <w:r w:rsidR="0032633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решения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предусматривают раскрытие необходимого </w:t>
            </w:r>
            <w:r w:rsidR="0032633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достаточного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объема информации об управлении противодейст</w:t>
            </w:r>
            <w:r w:rsidR="0032633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ием коррупции при условии защиты конфиденциальных сведений и персональных данных</w:t>
            </w:r>
            <w:r w:rsidR="0032633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ED020A" w:rsidRPr="00ED6540" w:rsidRDefault="00326330" w:rsidP="003263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предусмотрено и обеспечено раскрытие необходимого и достаточного объема информации об управлении противодействием коррупции в том числе в нефинансовых отчетах компании, включая результаты управления рисками, рассмотрения сообщений по каналам обратной связи, итоги </w:t>
            </w:r>
            <w:r w:rsidRPr="0032633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внутренн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его</w:t>
            </w:r>
            <w:r w:rsidRPr="0032633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или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32633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независим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ого внешнего</w:t>
            </w:r>
            <w:r w:rsidRPr="0032633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аудит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</w:t>
            </w:r>
            <w:r w:rsidRPr="0032633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 области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др</w:t>
            </w:r>
            <w:r w:rsidR="0021367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Компания публично: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заявляет о проведении единой антикоррупционной политики в контролируемых организациях и раскрывает информацию о внедрении антикоррупционных мер во всех контролируемых организациях/ указаны источники раскрытия;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раскрывает информацию о сделках с заинтересованностью и крупных сделках;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раскрывает информацию о результатах управления коррупционными рисками;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раскрывает проверенную информацию о характере сообщений по признакам коррупции, полученных по каналам </w:t>
            </w:r>
            <w:proofErr w:type="gramStart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обращений  (</w:t>
            </w:r>
            <w:proofErr w:type="gram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«горячей линии») и принятых мерах;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раскрывает перечень получателей и размеры осуществленной благотворительной и 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lastRenderedPageBreak/>
              <w:t>спонсорской поддержки;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раскрывает информацию о проведенных </w:t>
            </w:r>
            <w:proofErr w:type="gramStart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проверках  контрагентов</w:t>
            </w:r>
            <w:proofErr w:type="gram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на предмет выявления коррупционных факторов, в том числе о фактах расторжения договоров с контрагентами из-за несоблюдения ими антикоррупционных мер;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иную информацию.</w:t>
            </w:r>
          </w:p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020A" w:rsidRPr="00ED6540" w:rsidRDefault="00ED020A" w:rsidP="00ED65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Контроль, оценка результатов и корректирующие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Регулярно (в том числе в году, по итогам которого присваивается Рейтинг) осуществлялись проверки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благонадежности партнеров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(должная осмотрительность),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этом: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все договоры с деловыми партнёрами/контрагентами включают антикоррупционную оговорку;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договоры об оказании консультационных услуг (иных непрофильных для организации услуг) содержат четкое описание характера и результат таких услуг;</w:t>
            </w:r>
          </w:p>
          <w:p w:rsidR="00326330" w:rsidRPr="0032633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осуществляется предварительный и последующий контроль на предмет выполнения деловыми партнерами антикоррупционных требований, установленных законодательством и нормативными документами организации с учетом существенных риск-факторов (наличие родственных связей, закупка у единственного поставщика, осуществление подозрительных операций, в </w:t>
            </w:r>
            <w:proofErr w:type="spellStart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т.ч</w:t>
            </w:r>
            <w:proofErr w:type="spellEnd"/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 в офшорных зонах).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году, по итогам которого присваивается Рейтинг, проводились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комплексные проверки в отношении определенных бизнес-процессов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/ проектов/контролируемых организаций/ должностных лиц (работников) с </w:t>
            </w: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повышенным  уровнем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рисков коррупции, при этом: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проверки проводились на плановой основе;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проверки проводились на основе фактов/сообщений о признаках коррупции;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документированные результаты проверок доводились до сведения коллегиальных органов и должностных лиц высшего уровня управления;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 результатам анализа обстоятельств и фактов приняты адекватные меры;</w:t>
            </w:r>
          </w:p>
          <w:p w:rsidR="00ED020A" w:rsidRPr="00ED6540" w:rsidRDefault="00ED020A" w:rsidP="00ED65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реализована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корректировка неэффективных 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0699" w:rsidRPr="009B0699" w:rsidRDefault="009B0699" w:rsidP="009B069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году, по итогам которого присваивается </w:t>
            </w:r>
            <w:proofErr w:type="gramStart"/>
            <w:r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Рейтинг,   </w:t>
            </w:r>
            <w:proofErr w:type="gramEnd"/>
            <w:r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коллегиальные органы/ должностные лица высшего уровня управления  проводили анализ, оценку результатов управления противодействием коррупции, в том числе:  </w:t>
            </w:r>
          </w:p>
          <w:p w:rsidR="0074429E" w:rsidRDefault="00054E15" w:rsidP="003263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предмет </w:t>
            </w:r>
            <w:r w:rsidR="005B7BF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реализации соответствующих планов, в том </w:t>
            </w:r>
            <w:proofErr w:type="gramStart"/>
            <w:r w:rsidR="005B7BF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числе</w:t>
            </w:r>
            <w:r w:rsidR="00AB23E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74429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82EE6" w:rsidRPr="00F82EE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</w:t>
            </w:r>
            <w:proofErr w:type="gramEnd"/>
            <w:r w:rsidR="00F82EE6" w:rsidRPr="00F82EE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управлению рисками коррупции</w:t>
            </w:r>
            <w:r w:rsidR="0074429E"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E11A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проведению внутреннего и внешнего аудита;</w:t>
            </w:r>
          </w:p>
          <w:p w:rsidR="009B0699" w:rsidRPr="009B0699" w:rsidRDefault="00E11A80" w:rsidP="00326330">
            <w:pPr>
              <w:autoSpaceDE w:val="0"/>
              <w:autoSpaceDN w:val="0"/>
              <w:adjustRightInd w:val="0"/>
              <w:spacing w:line="241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="0074429E"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учётом </w:t>
            </w:r>
            <w:r w:rsidR="009B0699"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документированных результатов </w:t>
            </w:r>
            <w:r w:rsidR="00054E15"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внутренне</w:t>
            </w:r>
            <w:r w:rsidR="00F82EE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</w:t>
            </w:r>
            <w:r w:rsidR="00054E15"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ил</w:t>
            </w:r>
            <w:r w:rsidR="00054E1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 независимого внешнего </w:t>
            </w:r>
            <w:r w:rsidR="00054E1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lastRenderedPageBreak/>
              <w:t>аудита</w:t>
            </w:r>
            <w:r w:rsidR="005B7BF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r w:rsidR="00054E1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9B0699" w:rsidRPr="009B0699" w:rsidRDefault="009B0699" w:rsidP="009B069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</w:t>
            </w:r>
            <w:r w:rsidR="00095A2B"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 учётом </w:t>
            </w:r>
            <w:r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документированных </w:t>
            </w:r>
            <w:r w:rsidR="00C11F5B"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</w:t>
            </w:r>
            <w:r w:rsidR="00C11F5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="00C11F5B"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C11F5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антикоррупционных проверок</w:t>
            </w:r>
            <w:r w:rsidR="0032633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="00C11F5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B069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расследований.</w:t>
            </w:r>
          </w:p>
          <w:p w:rsidR="00ED020A" w:rsidRPr="00ED6540" w:rsidRDefault="00ED020A" w:rsidP="003D360D">
            <w:pPr>
              <w:ind w:left="357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3263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году, по итогам которого присваивается Рейтинг, в компании проводился </w:t>
            </w:r>
            <w:r w:rsidRPr="0032633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внутренний или независимый внешний аудит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области управления противодействием коррупции </w:t>
            </w:r>
          </w:p>
          <w:p w:rsidR="00ED020A" w:rsidRPr="00ED6540" w:rsidRDefault="00ED020A" w:rsidP="003263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проверка проводится</w:t>
            </w:r>
            <w:r w:rsidR="00795A5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плановой основе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сопоставимым критериям и отчётным периодам;</w:t>
            </w:r>
          </w:p>
          <w:p w:rsidR="00ED020A" w:rsidRPr="00ED6540" w:rsidRDefault="00ED020A" w:rsidP="003263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проверок документируются и хранятся в соответствии с требованиями, установленными в компании;</w:t>
            </w:r>
          </w:p>
          <w:p w:rsidR="00ED020A" w:rsidRPr="00ED6540" w:rsidRDefault="00ED020A" w:rsidP="003263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высшего уровня управления;</w:t>
            </w:r>
          </w:p>
          <w:p w:rsidR="00ED020A" w:rsidRPr="00ED6540" w:rsidRDefault="00ED020A" w:rsidP="003263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составлены и выполняются планы корректирующих действий по выявленным недостаткам.</w:t>
            </w:r>
          </w:p>
          <w:p w:rsidR="00ED020A" w:rsidRPr="00ED6540" w:rsidRDefault="00ED020A" w:rsidP="003263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году, по итогам которого присваивается Рейтинг, </w:t>
            </w:r>
            <w:r w:rsidRPr="00ED6540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специализированное подразделение/должностное лицо с функциями управления противодействием коррупции проводило анализ результатов и оценку эффективности</w:t>
            </w:r>
            <w:r w:rsidRPr="00ED654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управления противодействием коррупции (в отношении коррупционных рисков, результатов  анализа сообщений о коррупционных проявлениях и нарушениях деловой этики, внутренних и/или внешних независимых аудитов и др.), при этом:</w:t>
            </w:r>
          </w:p>
          <w:p w:rsidR="00ED020A" w:rsidRPr="00ED6540" w:rsidRDefault="00ED020A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проводились </w:t>
            </w:r>
            <w:r w:rsidR="00795A5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плановой основе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сопоставимым отчётным периодам и критериям;</w:t>
            </w:r>
          </w:p>
          <w:p w:rsidR="00ED020A" w:rsidRPr="00ED6540" w:rsidRDefault="00ED020A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осуществлялся в непрерывном режиме мониторинг соответствия применимому законодательству о противодействии коррупции, с учетом методических рекомендаций </w:t>
            </w: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Минтруда  России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Генеральной прокуратуры РФ, положений Антикоррупционной хартии российского бизнеса и др. документов, а также внешних и внутренних факторов; </w:t>
            </w:r>
          </w:p>
          <w:p w:rsidR="00ED020A" w:rsidRPr="00ED6540" w:rsidRDefault="00ED020A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проверок документируются и хранятся в соответствии с требованиями, установленными в компании;</w:t>
            </w:r>
          </w:p>
          <w:p w:rsidR="00ED020A" w:rsidRPr="00ED6540" w:rsidRDefault="00ED020A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результаты, доводятся до сведения коллегиальных органов управления и должностных лиц высшего уровня управления, в том числе о недостатках в управлении противодействием коррупции;</w:t>
            </w:r>
          </w:p>
          <w:p w:rsidR="00ED020A" w:rsidRPr="00ED6540" w:rsidRDefault="00ED020A" w:rsidP="009C210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составлены и выполняются планы корректирующих действий по выявленным недостаткам.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3E05B4" w:rsidP="00ED6540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случаях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когда</w:t>
            </w:r>
            <w:r w:rsidR="000300A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текущая</w:t>
            </w:r>
            <w:proofErr w:type="gramEnd"/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оценка </w:t>
            </w:r>
            <w:r w:rsidR="00935F1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реализации планов 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области</w:t>
            </w:r>
            <w:r w:rsidR="00935F1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="00935F1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</w:t>
            </w:r>
            <w:r w:rsidR="000300A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либо</w:t>
            </w:r>
            <w:r w:rsidR="000300A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 w:rsidR="00323CB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A0D9B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внутреннего или внешнего независимого аудита 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выяв</w:t>
            </w:r>
            <w:r w:rsidR="000300A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несоответстви</w:t>
            </w:r>
            <w:r w:rsidR="000300A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/недостатк</w:t>
            </w:r>
            <w:r w:rsidR="000300A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компании 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имаются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D020A"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корректирующие действия, которые предусматривают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ED020A" w:rsidRPr="00ED6540" w:rsidRDefault="009A5E9C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доработку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локальных актов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3E05B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планов </w:t>
            </w:r>
            <w:r w:rsidR="0004026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мероприятий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3E05B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процедур управления рисками коррупции</w:t>
            </w:r>
            <w:r w:rsidR="009C210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="00C865A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ED020A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совершенствовани</w:t>
            </w:r>
            <w:r w:rsidR="0004026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структуры управления противодействия коррупции, в том числе в контролируемых организациях, подразделениях и филиалах компании;</w:t>
            </w:r>
          </w:p>
          <w:p w:rsidR="00ED020A" w:rsidRPr="00ED6540" w:rsidRDefault="00ED020A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корректировк</w:t>
            </w:r>
            <w:r w:rsidR="0004026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требований к отдельным бизнес-процессам, включая организационно кадровые мероприятия</w:t>
            </w:r>
            <w:r w:rsidR="009A5E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в том числе по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обучени</w:t>
            </w:r>
            <w:r w:rsidR="009A5E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/информировани</w:t>
            </w:r>
            <w:r w:rsidR="009A5E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персонала; </w:t>
            </w:r>
          </w:p>
          <w:p w:rsidR="00ED020A" w:rsidRPr="00ED6540" w:rsidRDefault="00ED020A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корректировк</w:t>
            </w:r>
            <w:r w:rsidR="0004026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 стимулирования или ответственности за допущенные упущения/нарушения;</w:t>
            </w:r>
          </w:p>
          <w:p w:rsidR="00040262" w:rsidRDefault="00ED020A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повышение уровня публичности/</w:t>
            </w: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открытости  антикоррупционной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политики</w:t>
            </w:r>
            <w:r w:rsidR="00C865A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ED020A" w:rsidRPr="00ED6540" w:rsidRDefault="00040262" w:rsidP="00ED654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иные действия</w:t>
            </w:r>
            <w:r w:rsidR="00ED020A"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5F70D9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0A" w:rsidRPr="00ED6540" w:rsidRDefault="005F70D9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Максимальный суммарный показатель Рейтинга</w:t>
            </w:r>
            <w:r w:rsidRPr="00ED6540">
              <w:rPr>
                <w:rFonts w:ascii="Times New Roman" w:eastAsia="Cambria" w:hAnsi="Times New Roman" w:cs="Times New Roman"/>
                <w:color w:val="0F243E"/>
                <w:sz w:val="28"/>
                <w:szCs w:val="28"/>
              </w:rPr>
              <w:t xml:space="preserve"> (максимально возможная сумма оценок/баллов по всем критериям Рейтинга)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5*30=150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CB6995" w:rsidP="00ED65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D020A"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5F70D9" w:rsidP="00ED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--«--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D020A" w:rsidRPr="00ED6540" w:rsidRDefault="00CB6995" w:rsidP="00CB69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020A" w:rsidRPr="00ED6540" w:rsidRDefault="00ED020A" w:rsidP="00ED6540">
            <w:pPr>
              <w:jc w:val="both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 xml:space="preserve">Фактический суммарный показатель </w:t>
            </w:r>
            <w:proofErr w:type="spellStart"/>
            <w:r w:rsidRPr="00ED6540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рейтингуемой</w:t>
            </w:r>
            <w:proofErr w:type="spellEnd"/>
            <w:r w:rsidRPr="00ED6540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 xml:space="preserve"> компании:</w:t>
            </w:r>
          </w:p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Cambria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(сумма оценок/баллов по всем критериям Рейтинга, проставленных экспертом по итогам комплексной независимой оценки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рейтингуемой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компании):</w:t>
            </w:r>
          </w:p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С= С3+С4+С5</w:t>
            </w:r>
            <w:r w:rsidR="00CB6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+С6</w:t>
            </w:r>
          </w:p>
          <w:p w:rsidR="00ED020A" w:rsidRPr="00ED6540" w:rsidRDefault="00ED020A" w:rsidP="00ED6540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«С3»</w:t>
            </w:r>
          </w:p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баллов по столбцу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«С4»</w:t>
            </w:r>
          </w:p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баллов по столбцу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«С5»</w:t>
            </w:r>
          </w:p>
          <w:p w:rsidR="00ED020A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баллов по столбцу 5)</w:t>
            </w:r>
          </w:p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020A" w:rsidRDefault="00CB6995" w:rsidP="00ED65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99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F70D9" w:rsidRPr="00CB6995">
              <w:rPr>
                <w:rFonts w:ascii="Times New Roman" w:eastAsia="Times New Roman" w:hAnsi="Times New Roman" w:cs="Times New Roman"/>
                <w:sz w:val="28"/>
                <w:szCs w:val="28"/>
              </w:rPr>
              <w:t>С6»</w:t>
            </w:r>
          </w:p>
          <w:p w:rsidR="00C22B30" w:rsidRPr="00CB6995" w:rsidRDefault="00C22B30" w:rsidP="00ED65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 по столбцу 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B6995" w:rsidRDefault="00CB6995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020A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ED020A" w:rsidRPr="00ED6540" w:rsidRDefault="00ED020A" w:rsidP="00ED6540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Удельный показатель Рейтинга</w:t>
            </w:r>
          </w:p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– процент соответствия деятельности компании критериям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br/>
              <w:t xml:space="preserve">Рейтинга, рассчитанный как отношение Суммарного показателя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рейтингуемой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компании (сумма баллов «ИТОГО» в столбце 7) </w:t>
            </w: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к  «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Максимально возможному суммарному показателю» (</w:t>
            </w:r>
            <w:r w:rsidR="00EE0824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0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) с  умножением полученного результата на 100.</w:t>
            </w: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С * 100%</w:t>
            </w:r>
          </w:p>
          <w:p w:rsidR="00ED020A" w:rsidRPr="00ED6540" w:rsidRDefault="00CB6995" w:rsidP="00ED6540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60</w:t>
            </w:r>
            <w:r w:rsidR="00ED020A"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ED020A" w:rsidRPr="00ED6540" w:rsidRDefault="00ED020A" w:rsidP="00ED6540">
            <w:pPr>
              <w:ind w:right="176"/>
              <w:jc w:val="center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 С * 0,</w:t>
            </w:r>
            <w:proofErr w:type="gramStart"/>
            <w:r w:rsidR="00BC5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16666</w:t>
            </w:r>
            <w:r w:rsidR="00573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%</w:t>
            </w:r>
            <w:proofErr w:type="gramEnd"/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020A" w:rsidRPr="00ED6540" w:rsidRDefault="00ED020A" w:rsidP="00ED6540">
            <w:pPr>
              <w:jc w:val="both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020A" w:rsidRDefault="00ED020A" w:rsidP="00ED65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D020A" w:rsidRDefault="00ED020A" w:rsidP="00ED65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020A" w:rsidRPr="00ED6540" w:rsidRDefault="00ED020A" w:rsidP="00ED65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20A" w:rsidRPr="00ED6540" w:rsidTr="002B6B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20A" w:rsidRPr="00ED6540" w:rsidRDefault="00ED020A" w:rsidP="00ED6540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ED020A" w:rsidRPr="00ED6540" w:rsidRDefault="00ED020A" w:rsidP="00ED65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6540" w:rsidRPr="00ED6540" w:rsidRDefault="00ED6540" w:rsidP="00ED6540">
      <w:pPr>
        <w:spacing w:after="0"/>
        <w:rPr>
          <w:rFonts w:ascii="Calibri" w:eastAsia="Times New Roman" w:hAnsi="Calibri" w:cs="Times New Roman"/>
        </w:rPr>
      </w:pPr>
    </w:p>
    <w:p w:rsidR="00ED6540" w:rsidRPr="00ED6540" w:rsidRDefault="00ED6540" w:rsidP="00ED6540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ED6540" w:rsidRPr="00ED6540" w:rsidSect="0045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0F" w:rsidRDefault="00DD1D0F" w:rsidP="00034CDC">
      <w:pPr>
        <w:spacing w:after="0" w:line="240" w:lineRule="auto"/>
      </w:pPr>
      <w:r>
        <w:separator/>
      </w:r>
    </w:p>
  </w:endnote>
  <w:endnote w:type="continuationSeparator" w:id="0">
    <w:p w:rsidR="00DD1D0F" w:rsidRDefault="00DD1D0F" w:rsidP="0003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034C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385812"/>
      <w:docPartObj>
        <w:docPartGallery w:val="Page Numbers (Bottom of Page)"/>
        <w:docPartUnique/>
      </w:docPartObj>
    </w:sdtPr>
    <w:sdtEndPr/>
    <w:sdtContent>
      <w:p w:rsidR="00034CDC" w:rsidRDefault="00034CDC" w:rsidP="004566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B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034C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0F" w:rsidRDefault="00DD1D0F" w:rsidP="00034CDC">
      <w:pPr>
        <w:spacing w:after="0" w:line="240" w:lineRule="auto"/>
      </w:pPr>
      <w:r>
        <w:separator/>
      </w:r>
    </w:p>
  </w:footnote>
  <w:footnote w:type="continuationSeparator" w:id="0">
    <w:p w:rsidR="00DD1D0F" w:rsidRDefault="00DD1D0F" w:rsidP="0003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034C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034C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034C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w w:val="100"/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2E2B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8387C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75108"/>
    <w:multiLevelType w:val="hybridMultilevel"/>
    <w:tmpl w:val="30BABC4E"/>
    <w:lvl w:ilvl="0" w:tplc="16783F88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0134A"/>
    <w:multiLevelType w:val="hybridMultilevel"/>
    <w:tmpl w:val="6968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F1CE9"/>
    <w:multiLevelType w:val="hybridMultilevel"/>
    <w:tmpl w:val="63F4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w w:val="100"/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w w:val="100"/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43178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w w:val="100"/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10A4E"/>
    <w:multiLevelType w:val="hybridMultilevel"/>
    <w:tmpl w:val="0A1E6F8C"/>
    <w:lvl w:ilvl="0" w:tplc="077A32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4FAC"/>
    <w:multiLevelType w:val="hybridMultilevel"/>
    <w:tmpl w:val="8CF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7E84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7"/>
  </w:num>
  <w:num w:numId="32">
    <w:abstractNumId w:val="5"/>
  </w:num>
  <w:num w:numId="33">
    <w:abstractNumId w:val="1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540"/>
    <w:rsid w:val="00003CD9"/>
    <w:rsid w:val="000070EE"/>
    <w:rsid w:val="000300A3"/>
    <w:rsid w:val="00034CDC"/>
    <w:rsid w:val="00040262"/>
    <w:rsid w:val="00054E15"/>
    <w:rsid w:val="000626B0"/>
    <w:rsid w:val="00095A2B"/>
    <w:rsid w:val="001042AB"/>
    <w:rsid w:val="0011065C"/>
    <w:rsid w:val="00132E53"/>
    <w:rsid w:val="00155A61"/>
    <w:rsid w:val="001577F5"/>
    <w:rsid w:val="001725B8"/>
    <w:rsid w:val="00173E62"/>
    <w:rsid w:val="001B2DDF"/>
    <w:rsid w:val="001C67EC"/>
    <w:rsid w:val="001C6828"/>
    <w:rsid w:val="00211CA9"/>
    <w:rsid w:val="00213675"/>
    <w:rsid w:val="002330C2"/>
    <w:rsid w:val="002A5629"/>
    <w:rsid w:val="002B6B5E"/>
    <w:rsid w:val="00323CB3"/>
    <w:rsid w:val="00326330"/>
    <w:rsid w:val="00327832"/>
    <w:rsid w:val="003D360D"/>
    <w:rsid w:val="003E05B4"/>
    <w:rsid w:val="00446946"/>
    <w:rsid w:val="00456655"/>
    <w:rsid w:val="004D518E"/>
    <w:rsid w:val="004E0993"/>
    <w:rsid w:val="004E1A8B"/>
    <w:rsid w:val="005430B6"/>
    <w:rsid w:val="0055138B"/>
    <w:rsid w:val="00561C32"/>
    <w:rsid w:val="00573345"/>
    <w:rsid w:val="0057689D"/>
    <w:rsid w:val="00585CB9"/>
    <w:rsid w:val="005B7BF7"/>
    <w:rsid w:val="005C7F2F"/>
    <w:rsid w:val="005E1684"/>
    <w:rsid w:val="005F70D9"/>
    <w:rsid w:val="006C256C"/>
    <w:rsid w:val="006E540F"/>
    <w:rsid w:val="006F7D79"/>
    <w:rsid w:val="007177D2"/>
    <w:rsid w:val="00730345"/>
    <w:rsid w:val="0074429E"/>
    <w:rsid w:val="00786B10"/>
    <w:rsid w:val="00795A5C"/>
    <w:rsid w:val="007B17B2"/>
    <w:rsid w:val="007B497C"/>
    <w:rsid w:val="007D661D"/>
    <w:rsid w:val="00864A7D"/>
    <w:rsid w:val="008657EF"/>
    <w:rsid w:val="00877375"/>
    <w:rsid w:val="00877B15"/>
    <w:rsid w:val="0088317A"/>
    <w:rsid w:val="008A6ED6"/>
    <w:rsid w:val="008B5A19"/>
    <w:rsid w:val="00917ADF"/>
    <w:rsid w:val="00935F18"/>
    <w:rsid w:val="00935FA5"/>
    <w:rsid w:val="00955CB8"/>
    <w:rsid w:val="009849BE"/>
    <w:rsid w:val="009A5E9C"/>
    <w:rsid w:val="009B0699"/>
    <w:rsid w:val="009C2106"/>
    <w:rsid w:val="00A26977"/>
    <w:rsid w:val="00A5447E"/>
    <w:rsid w:val="00A71D4B"/>
    <w:rsid w:val="00A96058"/>
    <w:rsid w:val="00AB23EC"/>
    <w:rsid w:val="00B066E7"/>
    <w:rsid w:val="00B60DE6"/>
    <w:rsid w:val="00B702DF"/>
    <w:rsid w:val="00B72FFE"/>
    <w:rsid w:val="00BC5938"/>
    <w:rsid w:val="00BD6A33"/>
    <w:rsid w:val="00BE01A0"/>
    <w:rsid w:val="00C066D6"/>
    <w:rsid w:val="00C11F5B"/>
    <w:rsid w:val="00C22B30"/>
    <w:rsid w:val="00C267A4"/>
    <w:rsid w:val="00C365BC"/>
    <w:rsid w:val="00C46726"/>
    <w:rsid w:val="00C64114"/>
    <w:rsid w:val="00C74242"/>
    <w:rsid w:val="00C75231"/>
    <w:rsid w:val="00C865AA"/>
    <w:rsid w:val="00CA2591"/>
    <w:rsid w:val="00CB6995"/>
    <w:rsid w:val="00CC381E"/>
    <w:rsid w:val="00D63A66"/>
    <w:rsid w:val="00D86FE8"/>
    <w:rsid w:val="00DB7189"/>
    <w:rsid w:val="00DD1D0F"/>
    <w:rsid w:val="00DE7F3C"/>
    <w:rsid w:val="00E11A80"/>
    <w:rsid w:val="00E17E0C"/>
    <w:rsid w:val="00EA0D9B"/>
    <w:rsid w:val="00ED020A"/>
    <w:rsid w:val="00ED37A4"/>
    <w:rsid w:val="00ED6540"/>
    <w:rsid w:val="00EE0824"/>
    <w:rsid w:val="00EE54B5"/>
    <w:rsid w:val="00F3667A"/>
    <w:rsid w:val="00F82EE6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AA453"/>
  <w15:docId w15:val="{9EDE5BF0-566F-B74F-9378-5184F07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540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540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540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540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540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540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54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6540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D6540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D6540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D6540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ED6540"/>
    <w:rPr>
      <w:rFonts w:ascii="Calibri" w:eastAsia="Times New Roman" w:hAnsi="Calibri" w:cs="Times New Roman"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ED6540"/>
  </w:style>
  <w:style w:type="character" w:customStyle="1" w:styleId="12">
    <w:name w:val="Гиперссылка1"/>
    <w:basedOn w:val="a0"/>
    <w:unhideWhenUsed/>
    <w:rsid w:val="00ED6540"/>
    <w:rPr>
      <w:color w:val="0000FF"/>
      <w:u w:val="single"/>
    </w:rPr>
  </w:style>
  <w:style w:type="character" w:customStyle="1" w:styleId="13">
    <w:name w:val="Просмотренная гиперссылка1"/>
    <w:basedOn w:val="a0"/>
    <w:unhideWhenUsed/>
    <w:rsid w:val="00ED6540"/>
    <w:rPr>
      <w:color w:val="800080"/>
      <w:u w:val="single"/>
    </w:rPr>
  </w:style>
  <w:style w:type="paragraph" w:styleId="a3">
    <w:name w:val="Normal (Web)"/>
    <w:basedOn w:val="a"/>
    <w:semiHidden/>
    <w:unhideWhenUsed/>
    <w:rsid w:val="00ED654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14"/>
    <w:uiPriority w:val="99"/>
    <w:semiHidden/>
    <w:unhideWhenUsed/>
    <w:qFormat/>
    <w:rsid w:val="00ED654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15"/>
    <w:uiPriority w:val="9"/>
    <w:semiHidden/>
    <w:rsid w:val="00ED6540"/>
    <w:rPr>
      <w:sz w:val="20"/>
      <w:szCs w:val="20"/>
    </w:rPr>
  </w:style>
  <w:style w:type="paragraph" w:styleId="a6">
    <w:name w:val="header"/>
    <w:basedOn w:val="a"/>
    <w:link w:val="16"/>
    <w:uiPriority w:val="99"/>
    <w:unhideWhenUsed/>
    <w:rsid w:val="00ED654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7">
    <w:name w:val="Верхний колонтитул Знак"/>
    <w:basedOn w:val="a0"/>
    <w:link w:val="17"/>
    <w:uiPriority w:val="99"/>
    <w:semiHidden/>
    <w:rsid w:val="00ED6540"/>
  </w:style>
  <w:style w:type="paragraph" w:styleId="a8">
    <w:name w:val="footer"/>
    <w:basedOn w:val="a"/>
    <w:link w:val="18"/>
    <w:uiPriority w:val="99"/>
    <w:unhideWhenUsed/>
    <w:rsid w:val="00ED654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basedOn w:val="a0"/>
    <w:link w:val="19"/>
    <w:uiPriority w:val="99"/>
    <w:rsid w:val="00ED6540"/>
  </w:style>
  <w:style w:type="paragraph" w:customStyle="1" w:styleId="1a">
    <w:name w:val="Название объекта1"/>
    <w:basedOn w:val="a"/>
    <w:next w:val="a"/>
    <w:link w:val="aa"/>
    <w:unhideWhenUsed/>
    <w:qFormat/>
    <w:rsid w:val="00ED654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ED654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D6540"/>
    <w:rPr>
      <w:rFonts w:eastAsia="Times New Roman"/>
      <w:sz w:val="20"/>
      <w:szCs w:val="20"/>
    </w:rPr>
  </w:style>
  <w:style w:type="paragraph" w:customStyle="1" w:styleId="1b">
    <w:name w:val="Название1"/>
    <w:basedOn w:val="a"/>
    <w:next w:val="a"/>
    <w:link w:val="1c"/>
    <w:qFormat/>
    <w:rsid w:val="00ED654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ad">
    <w:name w:val="Название Знак"/>
    <w:basedOn w:val="a0"/>
    <w:rsid w:val="00ED65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Body Text"/>
    <w:basedOn w:val="a"/>
    <w:link w:val="1d"/>
    <w:semiHidden/>
    <w:unhideWhenUsed/>
    <w:qFormat/>
    <w:rsid w:val="00ED6540"/>
    <w:pPr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1e"/>
    <w:semiHidden/>
    <w:rsid w:val="00ED6540"/>
  </w:style>
  <w:style w:type="paragraph" w:styleId="af0">
    <w:name w:val="Subtitle"/>
    <w:basedOn w:val="a"/>
    <w:next w:val="a"/>
    <w:link w:val="1f"/>
    <w:qFormat/>
    <w:rsid w:val="00ED6540"/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af1">
    <w:name w:val="Подзаголовок Знак"/>
    <w:basedOn w:val="a0"/>
    <w:rsid w:val="00ED65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Date"/>
    <w:basedOn w:val="a"/>
    <w:next w:val="a"/>
    <w:link w:val="1f0"/>
    <w:semiHidden/>
    <w:unhideWhenUsed/>
    <w:qFormat/>
    <w:rsid w:val="00ED6540"/>
    <w:rPr>
      <w:rFonts w:eastAsia="Times New Roman"/>
    </w:rPr>
  </w:style>
  <w:style w:type="character" w:customStyle="1" w:styleId="af3">
    <w:name w:val="Дата Знак"/>
    <w:basedOn w:val="a0"/>
    <w:semiHidden/>
    <w:rsid w:val="00ED6540"/>
  </w:style>
  <w:style w:type="paragraph" w:styleId="af4">
    <w:name w:val="Plain Text"/>
    <w:basedOn w:val="a"/>
    <w:link w:val="af5"/>
    <w:semiHidden/>
    <w:unhideWhenUsed/>
    <w:rsid w:val="00ED65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ED65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1f1"/>
    <w:semiHidden/>
    <w:unhideWhenUsed/>
    <w:rsid w:val="00ED65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1f2"/>
    <w:semiHidden/>
    <w:rsid w:val="00ED6540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1"/>
    <w:qFormat/>
    <w:rsid w:val="00ED6540"/>
    <w:pPr>
      <w:ind w:left="720"/>
      <w:contextualSpacing/>
    </w:pPr>
    <w:rPr>
      <w:rFonts w:eastAsia="Times New Roman"/>
    </w:rPr>
  </w:style>
  <w:style w:type="paragraph" w:styleId="af9">
    <w:name w:val="Bibliography"/>
    <w:basedOn w:val="a"/>
    <w:next w:val="a"/>
    <w:semiHidden/>
    <w:unhideWhenUsed/>
    <w:qFormat/>
    <w:rsid w:val="00ED6540"/>
    <w:rPr>
      <w:rFonts w:eastAsia="Times New Roman"/>
    </w:rPr>
  </w:style>
  <w:style w:type="paragraph" w:customStyle="1" w:styleId="110">
    <w:name w:val="Заголовок 11"/>
    <w:basedOn w:val="a"/>
    <w:next w:val="ae"/>
    <w:uiPriority w:val="9"/>
    <w:qFormat/>
    <w:rsid w:val="00ED6540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e"/>
    <w:uiPriority w:val="9"/>
    <w:qFormat/>
    <w:rsid w:val="00ED6540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e"/>
    <w:uiPriority w:val="9"/>
    <w:qFormat/>
    <w:rsid w:val="00ED6540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e"/>
    <w:uiPriority w:val="9"/>
    <w:qFormat/>
    <w:rsid w:val="00ED6540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e"/>
    <w:uiPriority w:val="9"/>
    <w:qFormat/>
    <w:rsid w:val="00ED6540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e"/>
    <w:uiPriority w:val="9"/>
    <w:qFormat/>
    <w:rsid w:val="00ED6540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paragraph" w:customStyle="1" w:styleId="1e">
    <w:name w:val="Основной текст1"/>
    <w:basedOn w:val="a"/>
    <w:next w:val="ae"/>
    <w:link w:val="af"/>
    <w:qFormat/>
    <w:rsid w:val="00ED6540"/>
    <w:pPr>
      <w:spacing w:before="180" w:after="180" w:line="240" w:lineRule="auto"/>
    </w:pPr>
  </w:style>
  <w:style w:type="paragraph" w:customStyle="1" w:styleId="FirstParagraph">
    <w:name w:val="First Paragraph"/>
    <w:basedOn w:val="ae"/>
    <w:next w:val="ae"/>
    <w:qFormat/>
    <w:rsid w:val="00ED6540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e"/>
    <w:qFormat/>
    <w:rsid w:val="00ED6540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f3">
    <w:name w:val="Подзаголовок1"/>
    <w:basedOn w:val="afa"/>
    <w:next w:val="ae"/>
    <w:qFormat/>
    <w:rsid w:val="00ED6540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rFonts w:ascii="Calibri" w:eastAsia="Times New Roman" w:hAnsi="Calibri" w:cs="Times New Roman"/>
      <w:b/>
      <w:bCs/>
      <w:color w:val="345A8A"/>
      <w:spacing w:val="0"/>
      <w:kern w:val="0"/>
      <w:sz w:val="30"/>
      <w:szCs w:val="30"/>
      <w:lang w:val="en-US"/>
    </w:rPr>
  </w:style>
  <w:style w:type="paragraph" w:customStyle="1" w:styleId="Author">
    <w:name w:val="Author"/>
    <w:next w:val="ae"/>
    <w:qFormat/>
    <w:rsid w:val="00ED6540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f4">
    <w:name w:val="Дата1"/>
    <w:next w:val="ae"/>
    <w:qFormat/>
    <w:rsid w:val="00ED6540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Abstract">
    <w:name w:val="Abstract"/>
    <w:basedOn w:val="a"/>
    <w:next w:val="ae"/>
    <w:qFormat/>
    <w:rsid w:val="00ED6540"/>
    <w:pPr>
      <w:keepNext/>
      <w:keepLines/>
      <w:spacing w:before="300" w:after="300" w:line="240" w:lineRule="auto"/>
    </w:pPr>
    <w:rPr>
      <w:rFonts w:eastAsia="Times New Roman"/>
      <w:sz w:val="20"/>
      <w:szCs w:val="20"/>
      <w:lang w:val="en-US"/>
    </w:rPr>
  </w:style>
  <w:style w:type="paragraph" w:customStyle="1" w:styleId="1f5">
    <w:name w:val="Список литературы1"/>
    <w:basedOn w:val="a"/>
    <w:next w:val="af9"/>
    <w:qFormat/>
    <w:rsid w:val="00ED6540"/>
    <w:pPr>
      <w:spacing w:line="240" w:lineRule="auto"/>
    </w:pPr>
    <w:rPr>
      <w:rFonts w:eastAsia="Times New Roman"/>
      <w:sz w:val="24"/>
      <w:szCs w:val="24"/>
      <w:lang w:val="en-US"/>
    </w:rPr>
  </w:style>
  <w:style w:type="paragraph" w:customStyle="1" w:styleId="1f6">
    <w:name w:val="Цитата1"/>
    <w:basedOn w:val="ae"/>
    <w:next w:val="ae"/>
    <w:uiPriority w:val="9"/>
    <w:qFormat/>
    <w:rsid w:val="00ED6540"/>
    <w:pPr>
      <w:spacing w:before="100" w:after="100" w:line="240" w:lineRule="auto"/>
    </w:pPr>
    <w:rPr>
      <w:rFonts w:ascii="Calibri" w:hAnsi="Calibri" w:cs="Times New Roman"/>
      <w:bCs/>
      <w:sz w:val="20"/>
      <w:szCs w:val="20"/>
      <w:lang w:val="en-US"/>
    </w:rPr>
  </w:style>
  <w:style w:type="paragraph" w:customStyle="1" w:styleId="15">
    <w:name w:val="Текст сноски1"/>
    <w:basedOn w:val="a"/>
    <w:next w:val="a4"/>
    <w:link w:val="a5"/>
    <w:uiPriority w:val="9"/>
    <w:qFormat/>
    <w:rsid w:val="00ED6540"/>
    <w:pPr>
      <w:spacing w:line="240" w:lineRule="auto"/>
    </w:pPr>
    <w:rPr>
      <w:sz w:val="20"/>
      <w:szCs w:val="20"/>
    </w:rPr>
  </w:style>
  <w:style w:type="paragraph" w:customStyle="1" w:styleId="Definition">
    <w:name w:val="Definition"/>
    <w:basedOn w:val="a"/>
    <w:rsid w:val="00ED6540"/>
    <w:pPr>
      <w:spacing w:line="240" w:lineRule="auto"/>
    </w:pPr>
    <w:rPr>
      <w:rFonts w:eastAsia="Times New Roman"/>
      <w:sz w:val="24"/>
      <w:szCs w:val="24"/>
      <w:lang w:val="en-US"/>
    </w:rPr>
  </w:style>
  <w:style w:type="paragraph" w:customStyle="1" w:styleId="DefinitionTerm">
    <w:name w:val="Definition Term"/>
    <w:basedOn w:val="a"/>
    <w:next w:val="Definition"/>
    <w:rsid w:val="00ED6540"/>
    <w:pPr>
      <w:keepNext/>
      <w:keepLines/>
      <w:spacing w:after="0" w:line="240" w:lineRule="auto"/>
    </w:pPr>
    <w:rPr>
      <w:rFonts w:eastAsia="Times New Roman"/>
      <w:b/>
      <w:sz w:val="24"/>
      <w:szCs w:val="24"/>
      <w:lang w:val="en-US"/>
    </w:rPr>
  </w:style>
  <w:style w:type="character" w:customStyle="1" w:styleId="aa">
    <w:name w:val="Название объекта Знак"/>
    <w:basedOn w:val="a0"/>
    <w:link w:val="1a"/>
    <w:locked/>
    <w:rsid w:val="00ED6540"/>
    <w:rPr>
      <w:rFonts w:eastAsia="Times New Roman"/>
      <w:b/>
      <w:bCs/>
      <w:color w:val="4F81BD"/>
      <w:sz w:val="18"/>
      <w:szCs w:val="18"/>
    </w:rPr>
  </w:style>
  <w:style w:type="paragraph" w:customStyle="1" w:styleId="TableCaption">
    <w:name w:val="Table Caption"/>
    <w:basedOn w:val="afb"/>
    <w:rsid w:val="00ED6540"/>
    <w:pPr>
      <w:keepNext/>
      <w:spacing w:after="120"/>
    </w:pPr>
    <w:rPr>
      <w:rFonts w:eastAsia="Times New Roman"/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fb"/>
    <w:rsid w:val="00ED6540"/>
    <w:pPr>
      <w:spacing w:after="120"/>
    </w:pPr>
    <w:rPr>
      <w:rFonts w:eastAsia="Times New Roman"/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ED6540"/>
    <w:pPr>
      <w:spacing w:line="240" w:lineRule="auto"/>
    </w:pPr>
    <w:rPr>
      <w:rFonts w:eastAsia="Times New Roman"/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ED6540"/>
    <w:pPr>
      <w:keepNext/>
    </w:pPr>
  </w:style>
  <w:style w:type="paragraph" w:customStyle="1" w:styleId="1f7">
    <w:name w:val="Заголовок оглавления1"/>
    <w:basedOn w:val="1"/>
    <w:next w:val="ae"/>
    <w:uiPriority w:val="39"/>
    <w:qFormat/>
    <w:rsid w:val="00ED6540"/>
  </w:style>
  <w:style w:type="character" w:customStyle="1" w:styleId="VerbatimChar">
    <w:name w:val="Verbatim Char"/>
    <w:basedOn w:val="aa"/>
    <w:link w:val="SourceCode"/>
    <w:locked/>
    <w:rsid w:val="00ED6540"/>
    <w:rPr>
      <w:rFonts w:ascii="Consolas" w:eastAsia="Times New Roman" w:hAnsi="Consolas" w:cs="Consolas"/>
      <w:b/>
      <w:bCs/>
      <w:color w:val="4F81BD"/>
      <w:sz w:val="18"/>
      <w:szCs w:val="18"/>
    </w:rPr>
  </w:style>
  <w:style w:type="paragraph" w:customStyle="1" w:styleId="SourceCode">
    <w:name w:val="Source Code"/>
    <w:basedOn w:val="a"/>
    <w:link w:val="VerbatimChar"/>
    <w:rsid w:val="00ED6540"/>
    <w:pPr>
      <w:wordWrap w:val="0"/>
      <w:spacing w:line="240" w:lineRule="auto"/>
    </w:pPr>
    <w:rPr>
      <w:rFonts w:ascii="Consolas" w:eastAsia="Times New Roman" w:hAnsi="Consolas" w:cs="Consolas"/>
      <w:b/>
      <w:bCs/>
      <w:color w:val="4F81BD"/>
      <w:sz w:val="18"/>
      <w:szCs w:val="18"/>
    </w:rPr>
  </w:style>
  <w:style w:type="paragraph" w:customStyle="1" w:styleId="1f2">
    <w:name w:val="Текст выноски1"/>
    <w:basedOn w:val="a"/>
    <w:next w:val="af6"/>
    <w:link w:val="af7"/>
    <w:rsid w:val="00ED65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next w:val="a6"/>
    <w:link w:val="a7"/>
    <w:uiPriority w:val="99"/>
    <w:rsid w:val="00ED65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next w:val="a8"/>
    <w:link w:val="a9"/>
    <w:uiPriority w:val="99"/>
    <w:rsid w:val="00ED65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ExpansionofaSum">
    <w:name w:val="Expansion of a Sum"/>
    <w:rsid w:val="00ED6540"/>
    <w:rPr>
      <w:rFonts w:eastAsia="Times New Roman"/>
      <w:lang w:eastAsia="ru-RU"/>
    </w:rPr>
  </w:style>
  <w:style w:type="paragraph" w:customStyle="1" w:styleId="1f8">
    <w:name w:val="Абзац списка1"/>
    <w:basedOn w:val="a"/>
    <w:next w:val="af8"/>
    <w:uiPriority w:val="1"/>
    <w:qFormat/>
    <w:rsid w:val="00ED6540"/>
    <w:pPr>
      <w:spacing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1f9">
    <w:name w:val="Обычный (веб)1"/>
    <w:basedOn w:val="a"/>
    <w:next w:val="a3"/>
    <w:rsid w:val="00ED654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">
    <w:name w:val="Цитата2"/>
    <w:basedOn w:val="ae"/>
    <w:next w:val="ae"/>
    <w:uiPriority w:val="9"/>
    <w:qFormat/>
    <w:rsid w:val="00ED6540"/>
    <w:pPr>
      <w:spacing w:before="100" w:after="100" w:line="240" w:lineRule="auto"/>
    </w:pPr>
    <w:rPr>
      <w:rFonts w:ascii="Calibri" w:hAnsi="Calibri" w:cs="Times New Roman"/>
      <w:bCs/>
      <w:sz w:val="20"/>
      <w:szCs w:val="20"/>
      <w:lang w:val="en-US"/>
    </w:rPr>
  </w:style>
  <w:style w:type="paragraph" w:customStyle="1" w:styleId="23">
    <w:name w:val="Заголовок оглавления2"/>
    <w:basedOn w:val="1"/>
    <w:next w:val="ae"/>
    <w:uiPriority w:val="39"/>
    <w:qFormat/>
    <w:rsid w:val="00ED6540"/>
    <w:pPr>
      <w:spacing w:before="240" w:line="256" w:lineRule="auto"/>
      <w:outlineLvl w:val="9"/>
    </w:pPr>
    <w:rPr>
      <w:b w:val="0"/>
      <w:bCs w:val="0"/>
      <w:color w:val="365F91"/>
      <w:lang w:val="en-US"/>
    </w:rPr>
  </w:style>
  <w:style w:type="paragraph" w:customStyle="1" w:styleId="Pa1">
    <w:name w:val="Pa1"/>
    <w:basedOn w:val="a"/>
    <w:next w:val="a"/>
    <w:uiPriority w:val="99"/>
    <w:rsid w:val="00ED6540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1fa">
    <w:name w:val="Знак сноски1"/>
    <w:basedOn w:val="aa"/>
    <w:uiPriority w:val="99"/>
    <w:semiHidden/>
    <w:unhideWhenUsed/>
    <w:rsid w:val="00ED6540"/>
    <w:rPr>
      <w:rFonts w:eastAsia="Times New Roman"/>
      <w:b/>
      <w:bCs/>
      <w:color w:val="4F81BD"/>
      <w:sz w:val="18"/>
      <w:szCs w:val="18"/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ED6540"/>
    <w:rPr>
      <w:vertAlign w:val="superscript"/>
    </w:rPr>
  </w:style>
  <w:style w:type="character" w:styleId="afd">
    <w:name w:val="Placeholder Text"/>
    <w:basedOn w:val="a0"/>
    <w:semiHidden/>
    <w:rsid w:val="00ED6540"/>
    <w:rPr>
      <w:color w:val="808080"/>
    </w:rPr>
  </w:style>
  <w:style w:type="character" w:customStyle="1" w:styleId="KeywordTok">
    <w:name w:val="KeywordTok"/>
    <w:basedOn w:val="VerbatimChar"/>
    <w:rsid w:val="00ED6540"/>
    <w:rPr>
      <w:rFonts w:ascii="Consolas" w:eastAsia="Times New Roman" w:hAnsi="Consolas" w:cs="Consolas"/>
      <w:b w:val="0"/>
      <w:bCs/>
      <w:color w:val="007020"/>
      <w:sz w:val="18"/>
      <w:szCs w:val="18"/>
    </w:rPr>
  </w:style>
  <w:style w:type="character" w:customStyle="1" w:styleId="DataTypeTok">
    <w:name w:val="DataTypeTok"/>
    <w:basedOn w:val="VerbatimChar"/>
    <w:rsid w:val="00ED6540"/>
    <w:rPr>
      <w:rFonts w:ascii="Consolas" w:eastAsia="Times New Roman" w:hAnsi="Consolas" w:cs="Consolas"/>
      <w:b/>
      <w:bCs/>
      <w:color w:val="902000"/>
      <w:sz w:val="18"/>
      <w:szCs w:val="18"/>
    </w:rPr>
  </w:style>
  <w:style w:type="character" w:customStyle="1" w:styleId="DecValTok">
    <w:name w:val="DecValTok"/>
    <w:basedOn w:val="VerbatimChar"/>
    <w:rsid w:val="00ED6540"/>
    <w:rPr>
      <w:rFonts w:ascii="Consolas" w:eastAsia="Times New Roman" w:hAnsi="Consolas" w:cs="Consolas"/>
      <w:b/>
      <w:bCs/>
      <w:color w:val="40A070"/>
      <w:sz w:val="18"/>
      <w:szCs w:val="18"/>
    </w:rPr>
  </w:style>
  <w:style w:type="character" w:customStyle="1" w:styleId="BaseNTok">
    <w:name w:val="BaseNTok"/>
    <w:basedOn w:val="VerbatimChar"/>
    <w:rsid w:val="00ED6540"/>
    <w:rPr>
      <w:rFonts w:ascii="Consolas" w:eastAsia="Times New Roman" w:hAnsi="Consolas" w:cs="Consolas"/>
      <w:b/>
      <w:bCs/>
      <w:color w:val="40A070"/>
      <w:sz w:val="18"/>
      <w:szCs w:val="18"/>
    </w:rPr>
  </w:style>
  <w:style w:type="character" w:customStyle="1" w:styleId="FloatTok">
    <w:name w:val="FloatTok"/>
    <w:basedOn w:val="VerbatimChar"/>
    <w:rsid w:val="00ED6540"/>
    <w:rPr>
      <w:rFonts w:ascii="Consolas" w:eastAsia="Times New Roman" w:hAnsi="Consolas" w:cs="Consolas"/>
      <w:b/>
      <w:bCs/>
      <w:color w:val="40A070"/>
      <w:sz w:val="18"/>
      <w:szCs w:val="18"/>
    </w:rPr>
  </w:style>
  <w:style w:type="character" w:customStyle="1" w:styleId="ConstantTok">
    <w:name w:val="ConstantTok"/>
    <w:basedOn w:val="VerbatimChar"/>
    <w:rsid w:val="00ED6540"/>
    <w:rPr>
      <w:rFonts w:ascii="Consolas" w:eastAsia="Times New Roman" w:hAnsi="Consolas" w:cs="Consolas"/>
      <w:b/>
      <w:bCs/>
      <w:color w:val="880000"/>
      <w:sz w:val="18"/>
      <w:szCs w:val="18"/>
    </w:rPr>
  </w:style>
  <w:style w:type="character" w:customStyle="1" w:styleId="CharTok">
    <w:name w:val="CharTok"/>
    <w:basedOn w:val="VerbatimChar"/>
    <w:rsid w:val="00ED6540"/>
    <w:rPr>
      <w:rFonts w:ascii="Consolas" w:eastAsia="Times New Roman" w:hAnsi="Consolas" w:cs="Consolas"/>
      <w:b/>
      <w:bCs/>
      <w:color w:val="4070A0"/>
      <w:sz w:val="18"/>
      <w:szCs w:val="18"/>
    </w:rPr>
  </w:style>
  <w:style w:type="character" w:customStyle="1" w:styleId="SpecialCharTok">
    <w:name w:val="SpecialCharTok"/>
    <w:basedOn w:val="VerbatimChar"/>
    <w:rsid w:val="00ED6540"/>
    <w:rPr>
      <w:rFonts w:ascii="Consolas" w:eastAsia="Times New Roman" w:hAnsi="Consolas" w:cs="Consolas"/>
      <w:b/>
      <w:bCs/>
      <w:color w:val="4070A0"/>
      <w:sz w:val="18"/>
      <w:szCs w:val="18"/>
    </w:rPr>
  </w:style>
  <w:style w:type="character" w:customStyle="1" w:styleId="StringTok">
    <w:name w:val="StringTok"/>
    <w:basedOn w:val="VerbatimChar"/>
    <w:rsid w:val="00ED6540"/>
    <w:rPr>
      <w:rFonts w:ascii="Consolas" w:eastAsia="Times New Roman" w:hAnsi="Consolas" w:cs="Consolas"/>
      <w:b/>
      <w:bCs/>
      <w:color w:val="4070A0"/>
      <w:sz w:val="18"/>
      <w:szCs w:val="18"/>
    </w:rPr>
  </w:style>
  <w:style w:type="character" w:customStyle="1" w:styleId="VerbatimStringTok">
    <w:name w:val="VerbatimStringTok"/>
    <w:basedOn w:val="VerbatimChar"/>
    <w:rsid w:val="00ED6540"/>
    <w:rPr>
      <w:rFonts w:ascii="Consolas" w:eastAsia="Times New Roman" w:hAnsi="Consolas" w:cs="Consolas"/>
      <w:b/>
      <w:bCs/>
      <w:color w:val="4070A0"/>
      <w:sz w:val="18"/>
      <w:szCs w:val="18"/>
    </w:rPr>
  </w:style>
  <w:style w:type="character" w:customStyle="1" w:styleId="SpecialStringTok">
    <w:name w:val="SpecialStringTok"/>
    <w:basedOn w:val="VerbatimChar"/>
    <w:rsid w:val="00ED6540"/>
    <w:rPr>
      <w:rFonts w:ascii="Consolas" w:eastAsia="Times New Roman" w:hAnsi="Consolas" w:cs="Consolas"/>
      <w:b/>
      <w:bCs/>
      <w:color w:val="BB6688"/>
      <w:sz w:val="18"/>
      <w:szCs w:val="18"/>
    </w:rPr>
  </w:style>
  <w:style w:type="character" w:customStyle="1" w:styleId="ImportTok">
    <w:name w:val="ImportTok"/>
    <w:basedOn w:val="VerbatimChar"/>
    <w:rsid w:val="00ED6540"/>
    <w:rPr>
      <w:rFonts w:ascii="Consolas" w:eastAsia="Times New Roman" w:hAnsi="Consolas" w:cs="Consolas"/>
      <w:b/>
      <w:bCs/>
      <w:color w:val="4F81BD"/>
      <w:sz w:val="18"/>
      <w:szCs w:val="18"/>
    </w:rPr>
  </w:style>
  <w:style w:type="character" w:customStyle="1" w:styleId="CommentTok">
    <w:name w:val="CommentTok"/>
    <w:basedOn w:val="VerbatimChar"/>
    <w:rsid w:val="00ED6540"/>
    <w:rPr>
      <w:rFonts w:ascii="Consolas" w:eastAsia="Times New Roman" w:hAnsi="Consolas" w:cs="Consolas"/>
      <w:b/>
      <w:bCs/>
      <w:i/>
      <w:color w:val="60A0B0"/>
      <w:sz w:val="18"/>
      <w:szCs w:val="18"/>
    </w:rPr>
  </w:style>
  <w:style w:type="character" w:customStyle="1" w:styleId="DocumentationTok">
    <w:name w:val="DocumentationTok"/>
    <w:basedOn w:val="VerbatimChar"/>
    <w:rsid w:val="00ED6540"/>
    <w:rPr>
      <w:rFonts w:ascii="Consolas" w:eastAsia="Times New Roman" w:hAnsi="Consolas" w:cs="Consolas"/>
      <w:b/>
      <w:bCs/>
      <w:i/>
      <w:color w:val="BA2121"/>
      <w:sz w:val="18"/>
      <w:szCs w:val="18"/>
    </w:rPr>
  </w:style>
  <w:style w:type="character" w:customStyle="1" w:styleId="AnnotationTok">
    <w:name w:val="AnnotationTok"/>
    <w:basedOn w:val="VerbatimChar"/>
    <w:rsid w:val="00ED6540"/>
    <w:rPr>
      <w:rFonts w:ascii="Consolas" w:eastAsia="Times New Roman" w:hAnsi="Consolas" w:cs="Consolas"/>
      <w:b w:val="0"/>
      <w:bCs/>
      <w:i/>
      <w:color w:val="60A0B0"/>
      <w:sz w:val="18"/>
      <w:szCs w:val="18"/>
    </w:rPr>
  </w:style>
  <w:style w:type="character" w:customStyle="1" w:styleId="CommentVarTok">
    <w:name w:val="CommentVarTok"/>
    <w:basedOn w:val="VerbatimChar"/>
    <w:rsid w:val="00ED6540"/>
    <w:rPr>
      <w:rFonts w:ascii="Consolas" w:eastAsia="Times New Roman" w:hAnsi="Consolas" w:cs="Consolas"/>
      <w:b w:val="0"/>
      <w:bCs/>
      <w:i/>
      <w:color w:val="60A0B0"/>
      <w:sz w:val="18"/>
      <w:szCs w:val="18"/>
    </w:rPr>
  </w:style>
  <w:style w:type="character" w:customStyle="1" w:styleId="OtherTok">
    <w:name w:val="OtherTok"/>
    <w:basedOn w:val="VerbatimChar"/>
    <w:rsid w:val="00ED6540"/>
    <w:rPr>
      <w:rFonts w:ascii="Consolas" w:eastAsia="Times New Roman" w:hAnsi="Consolas" w:cs="Consolas"/>
      <w:b/>
      <w:bCs/>
      <w:color w:val="007020"/>
      <w:sz w:val="18"/>
      <w:szCs w:val="18"/>
    </w:rPr>
  </w:style>
  <w:style w:type="character" w:customStyle="1" w:styleId="FunctionTok">
    <w:name w:val="FunctionTok"/>
    <w:basedOn w:val="VerbatimChar"/>
    <w:rsid w:val="00ED6540"/>
    <w:rPr>
      <w:rFonts w:ascii="Consolas" w:eastAsia="Times New Roman" w:hAnsi="Consolas" w:cs="Consolas"/>
      <w:b/>
      <w:bCs/>
      <w:color w:val="06287E"/>
      <w:sz w:val="18"/>
      <w:szCs w:val="18"/>
    </w:rPr>
  </w:style>
  <w:style w:type="character" w:customStyle="1" w:styleId="VariableTok">
    <w:name w:val="VariableTok"/>
    <w:basedOn w:val="VerbatimChar"/>
    <w:rsid w:val="00ED6540"/>
    <w:rPr>
      <w:rFonts w:ascii="Consolas" w:eastAsia="Times New Roman" w:hAnsi="Consolas" w:cs="Consolas"/>
      <w:b/>
      <w:bCs/>
      <w:color w:val="19177C"/>
      <w:sz w:val="18"/>
      <w:szCs w:val="18"/>
    </w:rPr>
  </w:style>
  <w:style w:type="character" w:customStyle="1" w:styleId="ControlFlowTok">
    <w:name w:val="ControlFlowTok"/>
    <w:basedOn w:val="VerbatimChar"/>
    <w:rsid w:val="00ED6540"/>
    <w:rPr>
      <w:rFonts w:ascii="Consolas" w:eastAsia="Times New Roman" w:hAnsi="Consolas" w:cs="Consolas"/>
      <w:b w:val="0"/>
      <w:bCs/>
      <w:color w:val="007020"/>
      <w:sz w:val="18"/>
      <w:szCs w:val="18"/>
    </w:rPr>
  </w:style>
  <w:style w:type="character" w:customStyle="1" w:styleId="OperatorTok">
    <w:name w:val="OperatorTok"/>
    <w:basedOn w:val="VerbatimChar"/>
    <w:rsid w:val="00ED6540"/>
    <w:rPr>
      <w:rFonts w:ascii="Consolas" w:eastAsia="Times New Roman" w:hAnsi="Consolas" w:cs="Consolas"/>
      <w:b/>
      <w:bCs/>
      <w:color w:val="666666"/>
      <w:sz w:val="18"/>
      <w:szCs w:val="18"/>
    </w:rPr>
  </w:style>
  <w:style w:type="character" w:customStyle="1" w:styleId="BuiltInTok">
    <w:name w:val="BuiltInTok"/>
    <w:basedOn w:val="VerbatimChar"/>
    <w:rsid w:val="00ED6540"/>
    <w:rPr>
      <w:rFonts w:ascii="Consolas" w:eastAsia="Times New Roman" w:hAnsi="Consolas" w:cs="Consolas"/>
      <w:b/>
      <w:bCs/>
      <w:color w:val="4F81BD"/>
      <w:sz w:val="18"/>
      <w:szCs w:val="18"/>
    </w:rPr>
  </w:style>
  <w:style w:type="character" w:customStyle="1" w:styleId="ExtensionTok">
    <w:name w:val="ExtensionTok"/>
    <w:basedOn w:val="VerbatimChar"/>
    <w:rsid w:val="00ED6540"/>
    <w:rPr>
      <w:rFonts w:ascii="Consolas" w:eastAsia="Times New Roman" w:hAnsi="Consolas" w:cs="Consolas"/>
      <w:b/>
      <w:bCs/>
      <w:color w:val="4F81BD"/>
      <w:sz w:val="18"/>
      <w:szCs w:val="18"/>
    </w:rPr>
  </w:style>
  <w:style w:type="character" w:customStyle="1" w:styleId="PreprocessorTok">
    <w:name w:val="PreprocessorTok"/>
    <w:basedOn w:val="VerbatimChar"/>
    <w:rsid w:val="00ED6540"/>
    <w:rPr>
      <w:rFonts w:ascii="Consolas" w:eastAsia="Times New Roman" w:hAnsi="Consolas" w:cs="Consolas"/>
      <w:b/>
      <w:bCs/>
      <w:color w:val="BC7A00"/>
      <w:sz w:val="18"/>
      <w:szCs w:val="18"/>
    </w:rPr>
  </w:style>
  <w:style w:type="character" w:customStyle="1" w:styleId="AttributeTok">
    <w:name w:val="AttributeTok"/>
    <w:basedOn w:val="VerbatimChar"/>
    <w:rsid w:val="00ED6540"/>
    <w:rPr>
      <w:rFonts w:ascii="Consolas" w:eastAsia="Times New Roman" w:hAnsi="Consolas" w:cs="Consolas"/>
      <w:b/>
      <w:bCs/>
      <w:color w:val="7D9029"/>
      <w:sz w:val="18"/>
      <w:szCs w:val="18"/>
    </w:rPr>
  </w:style>
  <w:style w:type="character" w:customStyle="1" w:styleId="RegionMarkerTok">
    <w:name w:val="RegionMarkerTok"/>
    <w:basedOn w:val="VerbatimChar"/>
    <w:rsid w:val="00ED6540"/>
    <w:rPr>
      <w:rFonts w:ascii="Consolas" w:eastAsia="Times New Roman" w:hAnsi="Consolas" w:cs="Consolas"/>
      <w:b/>
      <w:bCs/>
      <w:color w:val="4F81BD"/>
      <w:sz w:val="18"/>
      <w:szCs w:val="18"/>
    </w:rPr>
  </w:style>
  <w:style w:type="character" w:customStyle="1" w:styleId="InformationTok">
    <w:name w:val="InformationTok"/>
    <w:basedOn w:val="VerbatimChar"/>
    <w:rsid w:val="00ED6540"/>
    <w:rPr>
      <w:rFonts w:ascii="Consolas" w:eastAsia="Times New Roman" w:hAnsi="Consolas" w:cs="Consolas"/>
      <w:b w:val="0"/>
      <w:bCs/>
      <w:i/>
      <w:color w:val="60A0B0"/>
      <w:sz w:val="18"/>
      <w:szCs w:val="18"/>
    </w:rPr>
  </w:style>
  <w:style w:type="character" w:customStyle="1" w:styleId="WarningTok">
    <w:name w:val="WarningTok"/>
    <w:basedOn w:val="VerbatimChar"/>
    <w:rsid w:val="00ED6540"/>
    <w:rPr>
      <w:rFonts w:ascii="Consolas" w:eastAsia="Times New Roman" w:hAnsi="Consolas" w:cs="Consolas"/>
      <w:b w:val="0"/>
      <w:bCs/>
      <w:i/>
      <w:color w:val="60A0B0"/>
      <w:sz w:val="18"/>
      <w:szCs w:val="18"/>
    </w:rPr>
  </w:style>
  <w:style w:type="character" w:customStyle="1" w:styleId="AlertTok">
    <w:name w:val="AlertTok"/>
    <w:basedOn w:val="VerbatimChar"/>
    <w:rsid w:val="00ED6540"/>
    <w:rPr>
      <w:rFonts w:ascii="Consolas" w:eastAsia="Times New Roman" w:hAnsi="Consolas" w:cs="Consolas"/>
      <w:b w:val="0"/>
      <w:bCs/>
      <w:color w:val="FF0000"/>
      <w:sz w:val="18"/>
      <w:szCs w:val="18"/>
    </w:rPr>
  </w:style>
  <w:style w:type="character" w:customStyle="1" w:styleId="ErrorTok">
    <w:name w:val="ErrorTok"/>
    <w:basedOn w:val="VerbatimChar"/>
    <w:rsid w:val="00ED6540"/>
    <w:rPr>
      <w:rFonts w:ascii="Consolas" w:eastAsia="Times New Roman" w:hAnsi="Consolas" w:cs="Consolas"/>
      <w:b w:val="0"/>
      <w:bCs/>
      <w:color w:val="FF0000"/>
      <w:sz w:val="18"/>
      <w:szCs w:val="18"/>
    </w:rPr>
  </w:style>
  <w:style w:type="character" w:customStyle="1" w:styleId="NormalTok">
    <w:name w:val="NormalTok"/>
    <w:basedOn w:val="VerbatimChar"/>
    <w:rsid w:val="00ED6540"/>
    <w:rPr>
      <w:rFonts w:ascii="Consolas" w:eastAsia="Times New Roman" w:hAnsi="Consolas" w:cs="Consolas"/>
      <w:b/>
      <w:bCs/>
      <w:color w:val="4F81BD"/>
      <w:sz w:val="18"/>
      <w:szCs w:val="18"/>
    </w:rPr>
  </w:style>
  <w:style w:type="character" w:customStyle="1" w:styleId="1d">
    <w:name w:val="Основной текст Знак1"/>
    <w:basedOn w:val="a0"/>
    <w:link w:val="ae"/>
    <w:semiHidden/>
    <w:locked/>
    <w:rsid w:val="00ED6540"/>
    <w:rPr>
      <w:rFonts w:eastAsia="Times New Roman"/>
    </w:rPr>
  </w:style>
  <w:style w:type="character" w:customStyle="1" w:styleId="111">
    <w:name w:val="Заголовок 1 Знак1"/>
    <w:basedOn w:val="a0"/>
    <w:uiPriority w:val="9"/>
    <w:rsid w:val="00ED654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D654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D6540"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ED6540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ED6540"/>
    <w:rPr>
      <w:rFonts w:ascii="Cambria" w:eastAsia="Times New Roman" w:hAnsi="Cambria" w:cs="Times New Roman" w:hint="default"/>
      <w:color w:val="243F60"/>
    </w:rPr>
  </w:style>
  <w:style w:type="character" w:customStyle="1" w:styleId="610">
    <w:name w:val="Заголовок 6 Знак1"/>
    <w:basedOn w:val="a0"/>
    <w:uiPriority w:val="9"/>
    <w:semiHidden/>
    <w:rsid w:val="00ED6540"/>
    <w:rPr>
      <w:rFonts w:ascii="Cambria" w:eastAsia="Times New Roman" w:hAnsi="Cambria" w:cs="Times New Roman" w:hint="default"/>
      <w:i/>
      <w:iCs/>
      <w:color w:val="243F60"/>
    </w:rPr>
  </w:style>
  <w:style w:type="character" w:customStyle="1" w:styleId="1c">
    <w:name w:val="Название Знак1"/>
    <w:basedOn w:val="a0"/>
    <w:link w:val="1b"/>
    <w:locked/>
    <w:rsid w:val="00ED6540"/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">
    <w:name w:val="Подзаголовок Знак1"/>
    <w:basedOn w:val="a0"/>
    <w:link w:val="af0"/>
    <w:locked/>
    <w:rsid w:val="00ED6540"/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0">
    <w:name w:val="Дата Знак1"/>
    <w:basedOn w:val="a0"/>
    <w:link w:val="af2"/>
    <w:semiHidden/>
    <w:locked/>
    <w:rsid w:val="00ED6540"/>
    <w:rPr>
      <w:rFonts w:eastAsia="Times New Roman"/>
    </w:rPr>
  </w:style>
  <w:style w:type="character" w:customStyle="1" w:styleId="14">
    <w:name w:val="Текст сноски Знак1"/>
    <w:basedOn w:val="a0"/>
    <w:link w:val="a4"/>
    <w:uiPriority w:val="99"/>
    <w:semiHidden/>
    <w:locked/>
    <w:rsid w:val="00ED6540"/>
    <w:rPr>
      <w:rFonts w:eastAsia="Times New Roman"/>
      <w:sz w:val="20"/>
      <w:szCs w:val="20"/>
    </w:rPr>
  </w:style>
  <w:style w:type="character" w:customStyle="1" w:styleId="1f1">
    <w:name w:val="Текст выноски Знак1"/>
    <w:basedOn w:val="a0"/>
    <w:link w:val="af6"/>
    <w:semiHidden/>
    <w:locked/>
    <w:rsid w:val="00ED6540"/>
    <w:rPr>
      <w:rFonts w:ascii="Tahoma" w:eastAsia="Times New Roman" w:hAnsi="Tahoma" w:cs="Tahoma"/>
      <w:sz w:val="16"/>
      <w:szCs w:val="16"/>
    </w:rPr>
  </w:style>
  <w:style w:type="character" w:customStyle="1" w:styleId="16">
    <w:name w:val="Верхний колонтитул Знак1"/>
    <w:basedOn w:val="a0"/>
    <w:link w:val="a6"/>
    <w:uiPriority w:val="99"/>
    <w:locked/>
    <w:rsid w:val="00ED6540"/>
    <w:rPr>
      <w:rFonts w:eastAsia="Times New Roman"/>
    </w:rPr>
  </w:style>
  <w:style w:type="character" w:customStyle="1" w:styleId="18">
    <w:name w:val="Нижний колонтитул Знак1"/>
    <w:basedOn w:val="a0"/>
    <w:link w:val="a8"/>
    <w:uiPriority w:val="99"/>
    <w:locked/>
    <w:rsid w:val="00ED6540"/>
    <w:rPr>
      <w:rFonts w:eastAsia="Times New Roman"/>
    </w:rPr>
  </w:style>
  <w:style w:type="table" w:styleId="afe">
    <w:name w:val="Table Grid"/>
    <w:basedOn w:val="a1"/>
    <w:uiPriority w:val="59"/>
    <w:rsid w:val="00ED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b">
    <w:name w:val="Сетка таблицы1"/>
    <w:basedOn w:val="a1"/>
    <w:rsid w:val="00ED654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ED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D6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D6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D6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ED6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ED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rsid w:val="00ED654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ED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ED6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ED6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ED6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ED6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uiPriority w:val="59"/>
    <w:rsid w:val="00ED6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ED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semiHidden/>
    <w:unhideWhenUsed/>
    <w:rsid w:val="00ED6540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ED6540"/>
    <w:rPr>
      <w:color w:val="800080" w:themeColor="followedHyperlink"/>
      <w:u w:val="single"/>
    </w:rPr>
  </w:style>
  <w:style w:type="paragraph" w:styleId="afa">
    <w:name w:val="Title"/>
    <w:basedOn w:val="a"/>
    <w:next w:val="a"/>
    <w:link w:val="aff1"/>
    <w:uiPriority w:val="10"/>
    <w:qFormat/>
    <w:rsid w:val="00ED6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0"/>
    <w:link w:val="afa"/>
    <w:uiPriority w:val="10"/>
    <w:rsid w:val="00ED6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"/>
    <w:next w:val="a"/>
    <w:uiPriority w:val="35"/>
    <w:semiHidden/>
    <w:unhideWhenUsed/>
    <w:qFormat/>
    <w:rsid w:val="00ED65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2">
    <w:name w:val="footnote reference"/>
    <w:basedOn w:val="a0"/>
    <w:uiPriority w:val="99"/>
    <w:semiHidden/>
    <w:unhideWhenUsed/>
    <w:rsid w:val="00ED6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Microsoft Office User</cp:lastModifiedBy>
  <cp:revision>4</cp:revision>
  <cp:lastPrinted>2022-12-21T13:33:00Z</cp:lastPrinted>
  <dcterms:created xsi:type="dcterms:W3CDTF">2022-12-26T09:54:00Z</dcterms:created>
  <dcterms:modified xsi:type="dcterms:W3CDTF">2022-12-28T22:33:00Z</dcterms:modified>
</cp:coreProperties>
</file>